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06" w:type="dxa"/>
        <w:tblLayout w:type="fixed"/>
        <w:tblCellMar>
          <w:left w:w="0" w:type="dxa"/>
          <w:right w:w="0" w:type="dxa"/>
        </w:tblCellMar>
        <w:tblLook w:val="04A0" w:firstRow="1" w:lastRow="0" w:firstColumn="1" w:lastColumn="0" w:noHBand="0" w:noVBand="1"/>
      </w:tblPr>
      <w:tblGrid>
        <w:gridCol w:w="9000"/>
        <w:gridCol w:w="406"/>
      </w:tblGrid>
      <w:tr w:rsidR="007566EE" w14:paraId="5E97BA3A" w14:textId="77777777" w:rsidTr="007566EE">
        <w:trPr>
          <w:gridAfter w:val="1"/>
          <w:wAfter w:w="406" w:type="dxa"/>
        </w:trPr>
        <w:tc>
          <w:tcPr>
            <w:tcW w:w="9000" w:type="dxa"/>
          </w:tcPr>
          <w:p w14:paraId="01C0DAD4" w14:textId="77777777" w:rsidR="007566EE" w:rsidRDefault="007566EE" w:rsidP="00A937FB">
            <w:pPr>
              <w:jc w:val="center"/>
              <w:rPr>
                <w:rFonts w:ascii="Times New Roman" w:eastAsia="Times New Roman" w:hAnsi="Times New Roman" w:cs="Times New Roman"/>
                <w:sz w:val="20"/>
                <w:szCs w:val="20"/>
              </w:rPr>
            </w:pPr>
          </w:p>
        </w:tc>
      </w:tr>
      <w:tr w:rsidR="007566EE" w14:paraId="26950B90" w14:textId="77777777" w:rsidTr="008148CB">
        <w:tblPrEx>
          <w:jc w:val="center"/>
        </w:tblPrEx>
        <w:trPr>
          <w:jc w:val="center"/>
        </w:trPr>
        <w:tc>
          <w:tcPr>
            <w:tcW w:w="9406" w:type="dxa"/>
            <w:gridSpan w:val="2"/>
          </w:tcPr>
          <w:tbl>
            <w:tblPr>
              <w:tblW w:w="5000" w:type="pct"/>
              <w:jc w:val="center"/>
              <w:tblLayout w:type="fixed"/>
              <w:tblCellMar>
                <w:left w:w="0" w:type="dxa"/>
                <w:right w:w="0" w:type="dxa"/>
              </w:tblCellMar>
              <w:tblLook w:val="04A0" w:firstRow="1" w:lastRow="0" w:firstColumn="1" w:lastColumn="0" w:noHBand="0" w:noVBand="1"/>
            </w:tblPr>
            <w:tblGrid>
              <w:gridCol w:w="9406"/>
            </w:tblGrid>
            <w:tr w:rsidR="008148CB" w14:paraId="469AC58B" w14:textId="77777777" w:rsidTr="008148CB">
              <w:trPr>
                <w:jc w:val="center"/>
              </w:trPr>
              <w:tc>
                <w:tcPr>
                  <w:tcW w:w="9072" w:type="dxa"/>
                  <w:shd w:val="clear" w:color="auto" w:fill="FFFFFF"/>
                  <w:tcMar>
                    <w:top w:w="135" w:type="dxa"/>
                    <w:left w:w="0" w:type="dxa"/>
                    <w:bottom w:w="0" w:type="dxa"/>
                    <w:right w:w="0" w:type="dxa"/>
                  </w:tcMar>
                  <w:hideMark/>
                </w:tcPr>
                <w:tbl>
                  <w:tblPr>
                    <w:tblW w:w="9000" w:type="dxa"/>
                    <w:jc w:val="center"/>
                    <w:tblLayout w:type="fixed"/>
                    <w:tblCellMar>
                      <w:left w:w="0" w:type="dxa"/>
                      <w:right w:w="0" w:type="dxa"/>
                    </w:tblCellMar>
                    <w:tblLook w:val="04A0" w:firstRow="1" w:lastRow="0" w:firstColumn="1" w:lastColumn="0" w:noHBand="0" w:noVBand="1"/>
                  </w:tblPr>
                  <w:tblGrid>
                    <w:gridCol w:w="9000"/>
                  </w:tblGrid>
                  <w:tr w:rsidR="008148CB" w14:paraId="7022A4F2" w14:textId="77777777">
                    <w:trPr>
                      <w:jc w:val="center"/>
                    </w:trPr>
                    <w:tc>
                      <w:tcPr>
                        <w:tcW w:w="9000" w:type="dxa"/>
                        <w:hideMark/>
                      </w:tcPr>
                      <w:tbl>
                        <w:tblPr>
                          <w:tblW w:w="9000" w:type="dxa"/>
                          <w:jc w:val="center"/>
                          <w:tblLayout w:type="fixed"/>
                          <w:tblCellMar>
                            <w:left w:w="0" w:type="dxa"/>
                            <w:right w:w="0" w:type="dxa"/>
                          </w:tblCellMar>
                          <w:tblLook w:val="04A0" w:firstRow="1" w:lastRow="0" w:firstColumn="1" w:lastColumn="0" w:noHBand="0" w:noVBand="1"/>
                        </w:tblPr>
                        <w:tblGrid>
                          <w:gridCol w:w="9000"/>
                        </w:tblGrid>
                        <w:tr w:rsidR="008148CB" w14:paraId="76175041" w14:textId="77777777">
                          <w:trPr>
                            <w:jc w:val="center"/>
                          </w:trPr>
                          <w:tc>
                            <w:tcPr>
                              <w:tcW w:w="9000" w:type="dxa"/>
                            </w:tcPr>
                            <w:tbl>
                              <w:tblPr>
                                <w:tblW w:w="5000" w:type="pct"/>
                                <w:tblLayout w:type="fixed"/>
                                <w:tblCellMar>
                                  <w:left w:w="0" w:type="dxa"/>
                                  <w:right w:w="0" w:type="dxa"/>
                                </w:tblCellMar>
                                <w:tblLook w:val="04A0" w:firstRow="1" w:lastRow="0" w:firstColumn="1" w:lastColumn="0" w:noHBand="0" w:noVBand="1"/>
                              </w:tblPr>
                              <w:tblGrid>
                                <w:gridCol w:w="9000"/>
                              </w:tblGrid>
                              <w:tr w:rsidR="008148CB" w14:paraId="79EF046E" w14:textId="77777777">
                                <w:tc>
                                  <w:tcPr>
                                    <w:tcW w:w="9000" w:type="dxa"/>
                                    <w:tcMar>
                                      <w:top w:w="135" w:type="dxa"/>
                                      <w:left w:w="135" w:type="dxa"/>
                                      <w:bottom w:w="135" w:type="dxa"/>
                                      <w:right w:w="135" w:type="dxa"/>
                                    </w:tcMar>
                                    <w:hideMark/>
                                  </w:tcPr>
                                  <w:tbl>
                                    <w:tblPr>
                                      <w:tblW w:w="5000" w:type="pct"/>
                                      <w:jc w:val="center"/>
                                      <w:tblLayout w:type="fixed"/>
                                      <w:tblCellMar>
                                        <w:left w:w="0" w:type="dxa"/>
                                        <w:right w:w="0" w:type="dxa"/>
                                      </w:tblCellMar>
                                      <w:tblLook w:val="04A0" w:firstRow="1" w:lastRow="0" w:firstColumn="1" w:lastColumn="0" w:noHBand="0" w:noVBand="1"/>
                                    </w:tblPr>
                                    <w:tblGrid>
                                      <w:gridCol w:w="8730"/>
                                    </w:tblGrid>
                                    <w:tr w:rsidR="008148CB" w14:paraId="635C8B89" w14:textId="77777777">
                                      <w:trPr>
                                        <w:jc w:val="center"/>
                                      </w:trPr>
                                      <w:tc>
                                        <w:tcPr>
                                          <w:tcW w:w="8730" w:type="dxa"/>
                                          <w:tcMar>
                                            <w:top w:w="0" w:type="dxa"/>
                                            <w:left w:w="135" w:type="dxa"/>
                                            <w:bottom w:w="0" w:type="dxa"/>
                                            <w:right w:w="135" w:type="dxa"/>
                                          </w:tcMar>
                                          <w:vAlign w:val="center"/>
                                          <w:hideMark/>
                                        </w:tcPr>
                                        <w:tbl>
                                          <w:tblPr>
                                            <w:tblW w:w="5000" w:type="pct"/>
                                            <w:jc w:val="right"/>
                                            <w:tblLayout w:type="fixed"/>
                                            <w:tblCellMar>
                                              <w:left w:w="0" w:type="dxa"/>
                                              <w:right w:w="0" w:type="dxa"/>
                                            </w:tblCellMar>
                                            <w:tblLook w:val="04A0" w:firstRow="1" w:lastRow="0" w:firstColumn="1" w:lastColumn="0" w:noHBand="0" w:noVBand="1"/>
                                          </w:tblPr>
                                          <w:tblGrid>
                                            <w:gridCol w:w="8460"/>
                                          </w:tblGrid>
                                          <w:tr w:rsidR="008148CB" w14:paraId="735F0A7E" w14:textId="77777777">
                                            <w:trPr>
                                              <w:jc w:val="right"/>
                                            </w:trPr>
                                            <w:tc>
                                              <w:tcPr>
                                                <w:tcW w:w="8460" w:type="dxa"/>
                                                <w:tcMar>
                                                  <w:top w:w="135" w:type="dxa"/>
                                                  <w:left w:w="135" w:type="dxa"/>
                                                  <w:bottom w:w="0" w:type="dxa"/>
                                                  <w:right w:w="135" w:type="dxa"/>
                                                </w:tcMar>
                                                <w:hideMark/>
                                              </w:tcPr>
                                              <w:tbl>
                                                <w:tblPr>
                                                  <w:tblpPr w:leftFromText="45" w:rightFromText="45" w:vertAnchor="text" w:tblpXSpec="right" w:tblpYSpec="center"/>
                                                  <w:tblW w:w="0" w:type="auto"/>
                                                  <w:tblLayout w:type="fixed"/>
                                                  <w:tblCellMar>
                                                    <w:left w:w="0" w:type="dxa"/>
                                                    <w:right w:w="0" w:type="dxa"/>
                                                  </w:tblCellMar>
                                                  <w:tblLook w:val="04A0" w:firstRow="1" w:lastRow="0" w:firstColumn="1" w:lastColumn="0" w:noHBand="0" w:noVBand="1"/>
                                                </w:tblPr>
                                                <w:tblGrid>
                                                  <w:gridCol w:w="2235"/>
                                                </w:tblGrid>
                                                <w:tr w:rsidR="008148CB" w14:paraId="5D78B9B5" w14:textId="77777777">
                                                  <w:tc>
                                                    <w:tcPr>
                                                      <w:tcW w:w="2235" w:type="dxa"/>
                                                      <w:hideMark/>
                                                    </w:tcPr>
                                                    <w:tbl>
                                                      <w:tblPr>
                                                        <w:tblpPr w:vertAnchor="text" w:tblpXSpec="right" w:tblpYSpec="center"/>
                                                        <w:tblW w:w="0" w:type="auto"/>
                                                        <w:tblLayout w:type="fixed"/>
                                                        <w:tblCellMar>
                                                          <w:left w:w="0" w:type="dxa"/>
                                                          <w:right w:w="0" w:type="dxa"/>
                                                        </w:tblCellMar>
                                                        <w:tblLook w:val="04A0" w:firstRow="1" w:lastRow="0" w:firstColumn="1" w:lastColumn="0" w:noHBand="0" w:noVBand="1"/>
                                                      </w:tblPr>
                                                      <w:tblGrid>
                                                        <w:gridCol w:w="795"/>
                                                        <w:gridCol w:w="795"/>
                                                        <w:gridCol w:w="645"/>
                                                      </w:tblGrid>
                                                      <w:tr w:rsidR="008148CB" w14:paraId="180EFCF8" w14:textId="77777777">
                                                        <w:tc>
                                                          <w:tcPr>
                                                            <w:tcW w:w="795" w:type="dxa"/>
                                                            <w:hideMark/>
                                                          </w:tcPr>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795"/>
                                                            </w:tblGrid>
                                                            <w:tr w:rsidR="008148CB" w14:paraId="4955920F" w14:textId="77777777">
                                                              <w:tc>
                                                                <w:tcPr>
                                                                  <w:tcW w:w="795" w:type="dxa"/>
                                                                  <w:tcMar>
                                                                    <w:top w:w="0" w:type="dxa"/>
                                                                    <w:left w:w="0" w:type="dxa"/>
                                                                    <w:bottom w:w="135" w:type="dxa"/>
                                                                    <w:right w:w="150" w:type="dxa"/>
                                                                  </w:tcMar>
                                                                  <w:hideMark/>
                                                                </w:tcPr>
                                                                <w:tbl>
                                                                  <w:tblPr>
                                                                    <w:tblW w:w="5000" w:type="pct"/>
                                                                    <w:tblLayout w:type="fixed"/>
                                                                    <w:tblCellMar>
                                                                      <w:left w:w="0" w:type="dxa"/>
                                                                      <w:right w:w="0" w:type="dxa"/>
                                                                    </w:tblCellMar>
                                                                    <w:tblLook w:val="04A0" w:firstRow="1" w:lastRow="0" w:firstColumn="1" w:lastColumn="0" w:noHBand="0" w:noVBand="1"/>
                                                                  </w:tblPr>
                                                                  <w:tblGrid>
                                                                    <w:gridCol w:w="645"/>
                                                                  </w:tblGrid>
                                                                  <w:tr w:rsidR="008148CB" w14:paraId="7D15DDA4" w14:textId="77777777">
                                                                    <w:tc>
                                                                      <w:tcPr>
                                                                        <w:tcW w:w="645" w:type="dxa"/>
                                                                        <w:tcMar>
                                                                          <w:top w:w="75" w:type="dxa"/>
                                                                          <w:left w:w="135" w:type="dxa"/>
                                                                          <w:bottom w:w="75" w:type="dxa"/>
                                                                          <w:right w:w="150" w:type="dxa"/>
                                                                        </w:tcMar>
                                                                        <w:vAlign w:val="center"/>
                                                                        <w:hideMark/>
                                                                      </w:tcPr>
                                                                      <w:tbl>
                                                                        <w:tblPr>
                                                                          <w:tblpPr w:leftFromText="45" w:rightFromText="45" w:vertAnchor="text"/>
                                                                          <w:tblW w:w="0" w:type="dxa"/>
                                                                          <w:tblLayout w:type="fixed"/>
                                                                          <w:tblCellMar>
                                                                            <w:left w:w="0" w:type="dxa"/>
                                                                            <w:right w:w="0" w:type="dxa"/>
                                                                          </w:tblCellMar>
                                                                          <w:tblLook w:val="04A0" w:firstRow="1" w:lastRow="0" w:firstColumn="1" w:lastColumn="0" w:noHBand="0" w:noVBand="1"/>
                                                                        </w:tblPr>
                                                                        <w:tblGrid>
                                                                          <w:gridCol w:w="360"/>
                                                                        </w:tblGrid>
                                                                        <w:tr w:rsidR="008148CB" w14:paraId="0472ABF2" w14:textId="77777777">
                                                                          <w:tc>
                                                                            <w:tcPr>
                                                                              <w:tcW w:w="360" w:type="dxa"/>
                                                                              <w:vAlign w:val="center"/>
                                                                              <w:hideMark/>
                                                                            </w:tcPr>
                                                                            <w:p w14:paraId="13B79242" w14:textId="60099F5F" w:rsidR="008148CB" w:rsidRDefault="008148CB" w:rsidP="008148CB">
                                                                              <w:pPr>
                                                                                <w:jc w:val="center"/>
                                                                                <w:rPr>
                                                                                  <w:rFonts w:eastAsia="Times New Roman"/>
                                                                                </w:rPr>
                                                                              </w:pPr>
                                                                              <w:r>
                                                                                <w:rPr>
                                                                                  <w:rFonts w:eastAsia="Times New Roman"/>
                                                                                  <w:noProof/>
                                                                                  <w:color w:val="0000FF"/>
                                                                                </w:rPr>
                                                                                <w:drawing>
                                                                                  <wp:inline distT="0" distB="0" distL="0" distR="0" wp14:anchorId="030CF8D0" wp14:editId="425207FF">
                                                                                    <wp:extent cx="228600" cy="228600"/>
                                                                                    <wp:effectExtent l="0" t="0" r="0" b="0"/>
                                                                                    <wp:docPr id="11" name="Obraz 11" descr="LinkedI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E3B1EB5" w14:textId="77777777" w:rsidR="008148CB" w:rsidRDefault="008148CB" w:rsidP="008148CB">
                                                                        <w:pPr>
                                                                          <w:rPr>
                                                                            <w:rFonts w:ascii="Times New Roman" w:eastAsia="Times New Roman" w:hAnsi="Times New Roman" w:cs="Times New Roman"/>
                                                                            <w:sz w:val="20"/>
                                                                            <w:szCs w:val="20"/>
                                                                          </w:rPr>
                                                                        </w:pPr>
                                                                      </w:p>
                                                                    </w:tc>
                                                                  </w:tr>
                                                                </w:tbl>
                                                                <w:p w14:paraId="4AE4DF41" w14:textId="77777777" w:rsidR="008148CB" w:rsidRDefault="008148CB" w:rsidP="008148CB">
                                                                  <w:pPr>
                                                                    <w:rPr>
                                                                      <w:rFonts w:ascii="Times New Roman" w:eastAsia="Times New Roman" w:hAnsi="Times New Roman" w:cs="Times New Roman"/>
                                                                      <w:sz w:val="20"/>
                                                                      <w:szCs w:val="20"/>
                                                                    </w:rPr>
                                                                  </w:pPr>
                                                                </w:p>
                                                              </w:tc>
                                                            </w:tr>
                                                          </w:tbl>
                                                          <w:p w14:paraId="72D1344B" w14:textId="77777777" w:rsidR="008148CB" w:rsidRDefault="008148CB" w:rsidP="008148CB">
                                                            <w:pPr>
                                                              <w:rPr>
                                                                <w:rFonts w:ascii="Times New Roman" w:eastAsia="Times New Roman" w:hAnsi="Times New Roman" w:cs="Times New Roman"/>
                                                                <w:sz w:val="20"/>
                                                                <w:szCs w:val="20"/>
                                                              </w:rPr>
                                                            </w:pPr>
                                                          </w:p>
                                                        </w:tc>
                                                        <w:tc>
                                                          <w:tcPr>
                                                            <w:tcW w:w="795" w:type="dxa"/>
                                                            <w:hideMark/>
                                                          </w:tcPr>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795"/>
                                                            </w:tblGrid>
                                                            <w:tr w:rsidR="008148CB" w14:paraId="4667B4C6" w14:textId="77777777">
                                                              <w:tc>
                                                                <w:tcPr>
                                                                  <w:tcW w:w="795" w:type="dxa"/>
                                                                  <w:tcMar>
                                                                    <w:top w:w="0" w:type="dxa"/>
                                                                    <w:left w:w="0" w:type="dxa"/>
                                                                    <w:bottom w:w="135" w:type="dxa"/>
                                                                    <w:right w:w="150" w:type="dxa"/>
                                                                  </w:tcMar>
                                                                  <w:hideMark/>
                                                                </w:tcPr>
                                                                <w:tbl>
                                                                  <w:tblPr>
                                                                    <w:tblW w:w="5000" w:type="pct"/>
                                                                    <w:tblLayout w:type="fixed"/>
                                                                    <w:tblCellMar>
                                                                      <w:left w:w="0" w:type="dxa"/>
                                                                      <w:right w:w="0" w:type="dxa"/>
                                                                    </w:tblCellMar>
                                                                    <w:tblLook w:val="04A0" w:firstRow="1" w:lastRow="0" w:firstColumn="1" w:lastColumn="0" w:noHBand="0" w:noVBand="1"/>
                                                                  </w:tblPr>
                                                                  <w:tblGrid>
                                                                    <w:gridCol w:w="645"/>
                                                                  </w:tblGrid>
                                                                  <w:tr w:rsidR="008148CB" w14:paraId="4F6A46C4" w14:textId="77777777">
                                                                    <w:tc>
                                                                      <w:tcPr>
                                                                        <w:tcW w:w="645" w:type="dxa"/>
                                                                        <w:tcMar>
                                                                          <w:top w:w="75" w:type="dxa"/>
                                                                          <w:left w:w="135" w:type="dxa"/>
                                                                          <w:bottom w:w="75" w:type="dxa"/>
                                                                          <w:right w:w="150" w:type="dxa"/>
                                                                        </w:tcMar>
                                                                        <w:vAlign w:val="center"/>
                                                                        <w:hideMark/>
                                                                      </w:tcPr>
                                                                      <w:tbl>
                                                                        <w:tblPr>
                                                                          <w:tblpPr w:leftFromText="45" w:rightFromText="45" w:vertAnchor="text"/>
                                                                          <w:tblW w:w="0" w:type="dxa"/>
                                                                          <w:tblLayout w:type="fixed"/>
                                                                          <w:tblCellMar>
                                                                            <w:left w:w="0" w:type="dxa"/>
                                                                            <w:right w:w="0" w:type="dxa"/>
                                                                          </w:tblCellMar>
                                                                          <w:tblLook w:val="04A0" w:firstRow="1" w:lastRow="0" w:firstColumn="1" w:lastColumn="0" w:noHBand="0" w:noVBand="1"/>
                                                                        </w:tblPr>
                                                                        <w:tblGrid>
                                                                          <w:gridCol w:w="360"/>
                                                                        </w:tblGrid>
                                                                        <w:tr w:rsidR="008148CB" w14:paraId="71BCC93A" w14:textId="77777777">
                                                                          <w:tc>
                                                                            <w:tcPr>
                                                                              <w:tcW w:w="360" w:type="dxa"/>
                                                                              <w:vAlign w:val="center"/>
                                                                              <w:hideMark/>
                                                                            </w:tcPr>
                                                                            <w:p w14:paraId="5ED02232" w14:textId="340D8CA1" w:rsidR="008148CB" w:rsidRDefault="008148CB" w:rsidP="008148CB">
                                                                              <w:pPr>
                                                                                <w:jc w:val="center"/>
                                                                                <w:rPr>
                                                                                  <w:rFonts w:eastAsia="Times New Roman"/>
                                                                                </w:rPr>
                                                                              </w:pPr>
                                                                              <w:r>
                                                                                <w:rPr>
                                                                                  <w:rFonts w:eastAsia="Times New Roman"/>
                                                                                  <w:noProof/>
                                                                                  <w:color w:val="0000FF"/>
                                                                                </w:rPr>
                                                                                <w:drawing>
                                                                                  <wp:inline distT="0" distB="0" distL="0" distR="0" wp14:anchorId="23B20474" wp14:editId="6FCA0422">
                                                                                    <wp:extent cx="228600" cy="228600"/>
                                                                                    <wp:effectExtent l="0" t="0" r="0" b="0"/>
                                                                                    <wp:docPr id="10" name="Obraz 10" descr="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280B9F1" w14:textId="77777777" w:rsidR="008148CB" w:rsidRDefault="008148CB" w:rsidP="008148CB">
                                                                        <w:pPr>
                                                                          <w:rPr>
                                                                            <w:rFonts w:ascii="Times New Roman" w:eastAsia="Times New Roman" w:hAnsi="Times New Roman" w:cs="Times New Roman"/>
                                                                            <w:sz w:val="20"/>
                                                                            <w:szCs w:val="20"/>
                                                                          </w:rPr>
                                                                        </w:pPr>
                                                                      </w:p>
                                                                    </w:tc>
                                                                  </w:tr>
                                                                </w:tbl>
                                                                <w:p w14:paraId="3B299C8E" w14:textId="77777777" w:rsidR="008148CB" w:rsidRDefault="008148CB" w:rsidP="008148CB">
                                                                  <w:pPr>
                                                                    <w:rPr>
                                                                      <w:rFonts w:ascii="Times New Roman" w:eastAsia="Times New Roman" w:hAnsi="Times New Roman" w:cs="Times New Roman"/>
                                                                      <w:sz w:val="20"/>
                                                                      <w:szCs w:val="20"/>
                                                                    </w:rPr>
                                                                  </w:pPr>
                                                                </w:p>
                                                              </w:tc>
                                                            </w:tr>
                                                          </w:tbl>
                                                          <w:p w14:paraId="138EEAD2" w14:textId="77777777" w:rsidR="008148CB" w:rsidRDefault="008148CB" w:rsidP="008148CB">
                                                            <w:pPr>
                                                              <w:rPr>
                                                                <w:rFonts w:ascii="Times New Roman" w:eastAsia="Times New Roman" w:hAnsi="Times New Roman" w:cs="Times New Roman"/>
                                                                <w:sz w:val="20"/>
                                                                <w:szCs w:val="20"/>
                                                              </w:rPr>
                                                            </w:pPr>
                                                          </w:p>
                                                        </w:tc>
                                                        <w:tc>
                                                          <w:tcPr>
                                                            <w:tcW w:w="645" w:type="dxa"/>
                                                            <w:hideMark/>
                                                          </w:tcPr>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645"/>
                                                            </w:tblGrid>
                                                            <w:tr w:rsidR="008148CB" w14:paraId="4EC9089C" w14:textId="77777777">
                                                              <w:tc>
                                                                <w:tcPr>
                                                                  <w:tcW w:w="645" w:type="dxa"/>
                                                                  <w:tcMar>
                                                                    <w:top w:w="0" w:type="dxa"/>
                                                                    <w:left w:w="0" w:type="dxa"/>
                                                                    <w:bottom w:w="135" w:type="dxa"/>
                                                                    <w:right w:w="0" w:type="dxa"/>
                                                                  </w:tcMar>
                                                                  <w:hideMark/>
                                                                </w:tcPr>
                                                                <w:tbl>
                                                                  <w:tblPr>
                                                                    <w:tblW w:w="5000" w:type="pct"/>
                                                                    <w:tblLayout w:type="fixed"/>
                                                                    <w:tblCellMar>
                                                                      <w:left w:w="0" w:type="dxa"/>
                                                                      <w:right w:w="0" w:type="dxa"/>
                                                                    </w:tblCellMar>
                                                                    <w:tblLook w:val="04A0" w:firstRow="1" w:lastRow="0" w:firstColumn="1" w:lastColumn="0" w:noHBand="0" w:noVBand="1"/>
                                                                  </w:tblPr>
                                                                  <w:tblGrid>
                                                                    <w:gridCol w:w="645"/>
                                                                  </w:tblGrid>
                                                                  <w:tr w:rsidR="008148CB" w14:paraId="07FE12A5" w14:textId="77777777">
                                                                    <w:tc>
                                                                      <w:tcPr>
                                                                        <w:tcW w:w="645" w:type="dxa"/>
                                                                        <w:tcMar>
                                                                          <w:top w:w="75" w:type="dxa"/>
                                                                          <w:left w:w="135" w:type="dxa"/>
                                                                          <w:bottom w:w="75" w:type="dxa"/>
                                                                          <w:right w:w="150" w:type="dxa"/>
                                                                        </w:tcMar>
                                                                        <w:vAlign w:val="center"/>
                                                                        <w:hideMark/>
                                                                      </w:tcPr>
                                                                      <w:tbl>
                                                                        <w:tblPr>
                                                                          <w:tblpPr w:leftFromText="45" w:rightFromText="45" w:vertAnchor="text"/>
                                                                          <w:tblW w:w="0" w:type="dxa"/>
                                                                          <w:tblLayout w:type="fixed"/>
                                                                          <w:tblCellMar>
                                                                            <w:left w:w="0" w:type="dxa"/>
                                                                            <w:right w:w="0" w:type="dxa"/>
                                                                          </w:tblCellMar>
                                                                          <w:tblLook w:val="04A0" w:firstRow="1" w:lastRow="0" w:firstColumn="1" w:lastColumn="0" w:noHBand="0" w:noVBand="1"/>
                                                                        </w:tblPr>
                                                                        <w:tblGrid>
                                                                          <w:gridCol w:w="360"/>
                                                                        </w:tblGrid>
                                                                        <w:tr w:rsidR="008148CB" w14:paraId="7E755404" w14:textId="77777777">
                                                                          <w:tc>
                                                                            <w:tcPr>
                                                                              <w:tcW w:w="360" w:type="dxa"/>
                                                                              <w:vAlign w:val="center"/>
                                                                              <w:hideMark/>
                                                                            </w:tcPr>
                                                                            <w:p w14:paraId="6CD33A6D" w14:textId="434CB096" w:rsidR="008148CB" w:rsidRDefault="008148CB" w:rsidP="008148CB">
                                                                              <w:pPr>
                                                                                <w:jc w:val="center"/>
                                                                                <w:rPr>
                                                                                  <w:rFonts w:eastAsia="Times New Roman"/>
                                                                                </w:rPr>
                                                                              </w:pPr>
                                                                              <w:r>
                                                                                <w:rPr>
                                                                                  <w:rFonts w:eastAsia="Times New Roman"/>
                                                                                  <w:noProof/>
                                                                                  <w:color w:val="0000FF"/>
                                                                                </w:rPr>
                                                                                <w:drawing>
                                                                                  <wp:inline distT="0" distB="0" distL="0" distR="0" wp14:anchorId="7F619527" wp14:editId="561D7635">
                                                                                    <wp:extent cx="228600" cy="228600"/>
                                                                                    <wp:effectExtent l="0" t="0" r="0" b="0"/>
                                                                                    <wp:docPr id="9" name="Obraz 9" descr="Websit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625175C" w14:textId="77777777" w:rsidR="008148CB" w:rsidRDefault="008148CB" w:rsidP="008148CB">
                                                                        <w:pPr>
                                                                          <w:rPr>
                                                                            <w:rFonts w:ascii="Times New Roman" w:eastAsia="Times New Roman" w:hAnsi="Times New Roman" w:cs="Times New Roman"/>
                                                                            <w:sz w:val="20"/>
                                                                            <w:szCs w:val="20"/>
                                                                          </w:rPr>
                                                                        </w:pPr>
                                                                      </w:p>
                                                                    </w:tc>
                                                                  </w:tr>
                                                                </w:tbl>
                                                                <w:p w14:paraId="391DFEE9" w14:textId="77777777" w:rsidR="008148CB" w:rsidRDefault="008148CB" w:rsidP="008148CB">
                                                                  <w:pPr>
                                                                    <w:rPr>
                                                                      <w:rFonts w:ascii="Times New Roman" w:eastAsia="Times New Roman" w:hAnsi="Times New Roman" w:cs="Times New Roman"/>
                                                                      <w:sz w:val="20"/>
                                                                      <w:szCs w:val="20"/>
                                                                    </w:rPr>
                                                                  </w:pPr>
                                                                </w:p>
                                                              </w:tc>
                                                            </w:tr>
                                                          </w:tbl>
                                                          <w:p w14:paraId="115C2BF4" w14:textId="77777777" w:rsidR="008148CB" w:rsidRDefault="008148CB" w:rsidP="008148CB">
                                                            <w:pPr>
                                                              <w:rPr>
                                                                <w:rFonts w:ascii="Times New Roman" w:eastAsia="Times New Roman" w:hAnsi="Times New Roman" w:cs="Times New Roman"/>
                                                                <w:sz w:val="20"/>
                                                                <w:szCs w:val="20"/>
                                                              </w:rPr>
                                                            </w:pPr>
                                                          </w:p>
                                                        </w:tc>
                                                      </w:tr>
                                                    </w:tbl>
                                                    <w:p w14:paraId="120B7AF5" w14:textId="77777777" w:rsidR="008148CB" w:rsidRDefault="008148CB" w:rsidP="008148CB">
                                                      <w:pPr>
                                                        <w:rPr>
                                                          <w:rFonts w:ascii="Times New Roman" w:eastAsia="Times New Roman" w:hAnsi="Times New Roman" w:cs="Times New Roman"/>
                                                          <w:sz w:val="20"/>
                                                          <w:szCs w:val="20"/>
                                                        </w:rPr>
                                                      </w:pPr>
                                                    </w:p>
                                                  </w:tc>
                                                </w:tr>
                                              </w:tbl>
                                              <w:p w14:paraId="7B793123" w14:textId="77777777" w:rsidR="008148CB" w:rsidRDefault="008148CB" w:rsidP="008148CB">
                                                <w:pPr>
                                                  <w:rPr>
                                                    <w:rFonts w:ascii="Times New Roman" w:eastAsia="Times New Roman" w:hAnsi="Times New Roman" w:cs="Times New Roman"/>
                                                    <w:sz w:val="20"/>
                                                    <w:szCs w:val="20"/>
                                                  </w:rPr>
                                                </w:pPr>
                                              </w:p>
                                            </w:tc>
                                          </w:tr>
                                        </w:tbl>
                                        <w:p w14:paraId="20226A81" w14:textId="77777777" w:rsidR="008148CB" w:rsidRDefault="008148CB" w:rsidP="008148CB">
                                          <w:pPr>
                                            <w:jc w:val="right"/>
                                            <w:rPr>
                                              <w:rFonts w:ascii="Times New Roman" w:eastAsia="Times New Roman" w:hAnsi="Times New Roman" w:cs="Times New Roman"/>
                                              <w:sz w:val="20"/>
                                              <w:szCs w:val="20"/>
                                            </w:rPr>
                                          </w:pPr>
                                        </w:p>
                                      </w:tc>
                                    </w:tr>
                                  </w:tbl>
                                  <w:p w14:paraId="7061FB35" w14:textId="77777777" w:rsidR="008148CB" w:rsidRDefault="008148CB" w:rsidP="008148CB">
                                    <w:pPr>
                                      <w:jc w:val="center"/>
                                      <w:rPr>
                                        <w:rFonts w:ascii="Times New Roman" w:eastAsia="Times New Roman" w:hAnsi="Times New Roman" w:cs="Times New Roman"/>
                                        <w:sz w:val="20"/>
                                        <w:szCs w:val="20"/>
                                      </w:rPr>
                                    </w:pPr>
                                  </w:p>
                                </w:tc>
                              </w:tr>
                            </w:tbl>
                            <w:p w14:paraId="6189EA9E" w14:textId="77777777" w:rsidR="008148CB" w:rsidRDefault="008148CB" w:rsidP="008148CB">
                              <w:pPr>
                                <w:rPr>
                                  <w:rFonts w:eastAsia="Times New Roman"/>
                                  <w:vanish/>
                                </w:rPr>
                              </w:pPr>
                            </w:p>
                            <w:tbl>
                              <w:tblPr>
                                <w:tblW w:w="5000" w:type="pct"/>
                                <w:tblLayout w:type="fixed"/>
                                <w:tblCellMar>
                                  <w:left w:w="0" w:type="dxa"/>
                                  <w:right w:w="0" w:type="dxa"/>
                                </w:tblCellMar>
                                <w:tblLook w:val="04A0" w:firstRow="1" w:lastRow="0" w:firstColumn="1" w:lastColumn="0" w:noHBand="0" w:noVBand="1"/>
                              </w:tblPr>
                              <w:tblGrid>
                                <w:gridCol w:w="9000"/>
                              </w:tblGrid>
                              <w:tr w:rsidR="008148CB" w14:paraId="64A06CE3" w14:textId="77777777">
                                <w:tc>
                                  <w:tcPr>
                                    <w:tcW w:w="9000" w:type="dxa"/>
                                    <w:tcMar>
                                      <w:top w:w="135" w:type="dxa"/>
                                      <w:left w:w="135" w:type="dxa"/>
                                      <w:bottom w:w="135" w:type="dxa"/>
                                      <w:right w:w="135"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8730"/>
                                    </w:tblGrid>
                                    <w:tr w:rsidR="008148CB" w14:paraId="626F63CF" w14:textId="77777777">
                                      <w:tc>
                                        <w:tcPr>
                                          <w:tcW w:w="8730" w:type="dxa"/>
                                          <w:tcMar>
                                            <w:top w:w="0" w:type="dxa"/>
                                            <w:left w:w="135" w:type="dxa"/>
                                            <w:bottom w:w="0" w:type="dxa"/>
                                            <w:right w:w="135" w:type="dxa"/>
                                          </w:tcMar>
                                          <w:hideMark/>
                                        </w:tcPr>
                                        <w:p w14:paraId="02FA9694" w14:textId="34970A94" w:rsidR="008148CB" w:rsidRDefault="008148CB" w:rsidP="008148CB">
                                          <w:pPr>
                                            <w:jc w:val="center"/>
                                            <w:rPr>
                                              <w:rFonts w:eastAsia="Times New Roman"/>
                                            </w:rPr>
                                          </w:pPr>
                                          <w:r>
                                            <w:rPr>
                                              <w:rFonts w:eastAsia="Times New Roman"/>
                                              <w:noProof/>
                                            </w:rPr>
                                            <w:drawing>
                                              <wp:inline distT="0" distB="0" distL="0" distR="0" wp14:anchorId="5DA40728" wp14:editId="6B6FA197">
                                                <wp:extent cx="5372100" cy="116586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2100" cy="1165860"/>
                                                        </a:xfrm>
                                                        <a:prstGeom prst="rect">
                                                          <a:avLst/>
                                                        </a:prstGeom>
                                                        <a:noFill/>
                                                        <a:ln>
                                                          <a:noFill/>
                                                        </a:ln>
                                                      </pic:spPr>
                                                    </pic:pic>
                                                  </a:graphicData>
                                                </a:graphic>
                                              </wp:inline>
                                            </w:drawing>
                                          </w:r>
                                        </w:p>
                                      </w:tc>
                                    </w:tr>
                                  </w:tbl>
                                  <w:p w14:paraId="6654F74F" w14:textId="77777777" w:rsidR="008148CB" w:rsidRDefault="008148CB" w:rsidP="008148CB">
                                    <w:pPr>
                                      <w:rPr>
                                        <w:rFonts w:ascii="Times New Roman" w:eastAsia="Times New Roman" w:hAnsi="Times New Roman" w:cs="Times New Roman"/>
                                        <w:sz w:val="20"/>
                                        <w:szCs w:val="20"/>
                                      </w:rPr>
                                    </w:pPr>
                                  </w:p>
                                </w:tc>
                              </w:tr>
                            </w:tbl>
                            <w:p w14:paraId="797E1C79" w14:textId="77777777" w:rsidR="008148CB" w:rsidRDefault="008148CB" w:rsidP="008148CB">
                              <w:pPr>
                                <w:rPr>
                                  <w:rFonts w:ascii="Times New Roman" w:eastAsia="Times New Roman" w:hAnsi="Times New Roman" w:cs="Times New Roman"/>
                                  <w:sz w:val="20"/>
                                  <w:szCs w:val="20"/>
                                </w:rPr>
                              </w:pPr>
                            </w:p>
                          </w:tc>
                        </w:tr>
                      </w:tbl>
                      <w:p w14:paraId="776EC904" w14:textId="77777777" w:rsidR="008148CB" w:rsidRDefault="008148CB" w:rsidP="008148CB">
                        <w:pPr>
                          <w:jc w:val="center"/>
                          <w:rPr>
                            <w:rFonts w:ascii="Times New Roman" w:eastAsia="Times New Roman" w:hAnsi="Times New Roman" w:cs="Times New Roman"/>
                            <w:sz w:val="20"/>
                            <w:szCs w:val="20"/>
                          </w:rPr>
                        </w:pPr>
                      </w:p>
                    </w:tc>
                  </w:tr>
                </w:tbl>
                <w:p w14:paraId="7C1ED9E9" w14:textId="77777777" w:rsidR="008148CB" w:rsidRDefault="008148CB" w:rsidP="008148CB">
                  <w:pPr>
                    <w:jc w:val="center"/>
                    <w:rPr>
                      <w:rFonts w:ascii="Times New Roman" w:eastAsia="Times New Roman" w:hAnsi="Times New Roman" w:cs="Times New Roman"/>
                      <w:sz w:val="20"/>
                      <w:szCs w:val="20"/>
                    </w:rPr>
                  </w:pPr>
                </w:p>
              </w:tc>
            </w:tr>
            <w:tr w:rsidR="008148CB" w14:paraId="7E32EFED" w14:textId="77777777" w:rsidTr="008148CB">
              <w:trPr>
                <w:jc w:val="center"/>
              </w:trPr>
              <w:tc>
                <w:tcPr>
                  <w:tcW w:w="9072" w:type="dxa"/>
                  <w:shd w:val="clear" w:color="auto" w:fill="FFFFFF"/>
                  <w:hideMark/>
                </w:tcPr>
                <w:tbl>
                  <w:tblPr>
                    <w:tblW w:w="9000" w:type="dxa"/>
                    <w:jc w:val="center"/>
                    <w:tblLayout w:type="fixed"/>
                    <w:tblCellMar>
                      <w:left w:w="0" w:type="dxa"/>
                      <w:right w:w="0" w:type="dxa"/>
                    </w:tblCellMar>
                    <w:tblLook w:val="04A0" w:firstRow="1" w:lastRow="0" w:firstColumn="1" w:lastColumn="0" w:noHBand="0" w:noVBand="1"/>
                  </w:tblPr>
                  <w:tblGrid>
                    <w:gridCol w:w="9000"/>
                  </w:tblGrid>
                  <w:tr w:rsidR="008148CB" w14:paraId="034B7CEE" w14:textId="77777777">
                    <w:trPr>
                      <w:jc w:val="center"/>
                    </w:trPr>
                    <w:tc>
                      <w:tcPr>
                        <w:tcW w:w="9000" w:type="dxa"/>
                        <w:hideMark/>
                      </w:tcPr>
                      <w:tbl>
                        <w:tblPr>
                          <w:tblW w:w="9000" w:type="dxa"/>
                          <w:jc w:val="center"/>
                          <w:tblLayout w:type="fixed"/>
                          <w:tblCellMar>
                            <w:left w:w="0" w:type="dxa"/>
                            <w:right w:w="0" w:type="dxa"/>
                          </w:tblCellMar>
                          <w:tblLook w:val="04A0" w:firstRow="1" w:lastRow="0" w:firstColumn="1" w:lastColumn="0" w:noHBand="0" w:noVBand="1"/>
                        </w:tblPr>
                        <w:tblGrid>
                          <w:gridCol w:w="9000"/>
                        </w:tblGrid>
                        <w:tr w:rsidR="008148CB" w14:paraId="447FB3E1" w14:textId="77777777">
                          <w:trPr>
                            <w:jc w:val="center"/>
                          </w:trPr>
                          <w:tc>
                            <w:tcPr>
                              <w:tcW w:w="9072" w:type="dxa"/>
                            </w:tcPr>
                            <w:tbl>
                              <w:tblPr>
                                <w:tblW w:w="5000" w:type="pct"/>
                                <w:tblLayout w:type="fixed"/>
                                <w:tblCellMar>
                                  <w:left w:w="0" w:type="dxa"/>
                                  <w:right w:w="0" w:type="dxa"/>
                                </w:tblCellMar>
                                <w:tblLook w:val="04A0" w:firstRow="1" w:lastRow="0" w:firstColumn="1" w:lastColumn="0" w:noHBand="0" w:noVBand="1"/>
                              </w:tblPr>
                              <w:tblGrid>
                                <w:gridCol w:w="9000"/>
                              </w:tblGrid>
                              <w:tr w:rsidR="008148CB" w:rsidRPr="008148CB" w14:paraId="1853E22D" w14:textId="77777777">
                                <w:tc>
                                  <w:tcPr>
                                    <w:tcW w:w="9072" w:type="dxa"/>
                                    <w:tcMar>
                                      <w:top w:w="135" w:type="dxa"/>
                                      <w:left w:w="0" w:type="dxa"/>
                                      <w:bottom w:w="0" w:type="dxa"/>
                                      <w:right w:w="0" w:type="dxa"/>
                                    </w:tcMar>
                                    <w:hideMark/>
                                  </w:tcPr>
                                  <w:tbl>
                                    <w:tblPr>
                                      <w:tblpPr w:vertAnchor="text"/>
                                      <w:tblW w:w="5000" w:type="pct"/>
                                      <w:tblLayout w:type="fixed"/>
                                      <w:tblCellMar>
                                        <w:left w:w="0" w:type="dxa"/>
                                        <w:right w:w="0" w:type="dxa"/>
                                      </w:tblCellMar>
                                      <w:tblLook w:val="04A0" w:firstRow="1" w:lastRow="0" w:firstColumn="1" w:lastColumn="0" w:noHBand="0" w:noVBand="1"/>
                                    </w:tblPr>
                                    <w:tblGrid>
                                      <w:gridCol w:w="9000"/>
                                    </w:tblGrid>
                                    <w:tr w:rsidR="008148CB" w:rsidRPr="008148CB" w14:paraId="1D24EACA" w14:textId="77777777">
                                      <w:tc>
                                        <w:tcPr>
                                          <w:tcW w:w="9000" w:type="dxa"/>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00"/>
                                          </w:tblGrid>
                                          <w:tr w:rsidR="008148CB" w:rsidRPr="008148CB" w14:paraId="05292EC9" w14:textId="77777777">
                                            <w:tc>
                                              <w:tcPr>
                                                <w:tcW w:w="9072" w:type="dxa"/>
                                                <w:tcMar>
                                                  <w:top w:w="0" w:type="dxa"/>
                                                  <w:left w:w="270" w:type="dxa"/>
                                                  <w:bottom w:w="135" w:type="dxa"/>
                                                  <w:right w:w="270" w:type="dxa"/>
                                                </w:tcMar>
                                                <w:hideMark/>
                                              </w:tcPr>
                                              <w:p w14:paraId="3A992FC0" w14:textId="77777777" w:rsidR="008148CB" w:rsidRPr="008148CB" w:rsidRDefault="008148CB" w:rsidP="008148CB">
                                                <w:pPr>
                                                  <w:spacing w:before="150" w:after="150" w:line="360" w:lineRule="auto"/>
                                                  <w:jc w:val="right"/>
                                                  <w:rPr>
                                                    <w:rFonts w:ascii="Helvetica" w:hAnsi="Helvetica" w:cs="Helvetica"/>
                                                    <w:color w:val="202020"/>
                                                    <w:sz w:val="24"/>
                                                    <w:szCs w:val="24"/>
                                                    <w:lang w:val="en-US"/>
                                                  </w:rPr>
                                                </w:pPr>
                                                <w:r w:rsidRPr="008148CB">
                                                  <w:rPr>
                                                    <w:rStyle w:val="Pogrubienie"/>
                                                    <w:rFonts w:ascii="Helvetica" w:hAnsi="Helvetica" w:cs="Helvetica"/>
                                                    <w:color w:val="202020"/>
                                                    <w:sz w:val="24"/>
                                                    <w:szCs w:val="24"/>
                                                    <w:lang w:val="en-US"/>
                                                  </w:rPr>
                                                  <w:t>19 July 2022</w:t>
                                                </w:r>
                                                <w:r w:rsidRPr="008148CB">
                                                  <w:rPr>
                                                    <w:rFonts w:ascii="Helvetica" w:hAnsi="Helvetica" w:cs="Helvetica"/>
                                                    <w:color w:val="202020"/>
                                                    <w:sz w:val="24"/>
                                                    <w:szCs w:val="24"/>
                                                    <w:lang w:val="en-US"/>
                                                  </w:rPr>
                                                  <w:t> </w:t>
                                                </w:r>
                                              </w:p>
                                              <w:p w14:paraId="21C9B2D1" w14:textId="77777777" w:rsidR="008148CB" w:rsidRPr="008148CB" w:rsidRDefault="008148CB" w:rsidP="008148CB">
                                                <w:pPr>
                                                  <w:spacing w:before="150" w:after="150" w:line="360" w:lineRule="auto"/>
                                                  <w:rPr>
                                                    <w:rFonts w:ascii="Helvetica" w:hAnsi="Helvetica" w:cs="Helvetica"/>
                                                    <w:color w:val="202020"/>
                                                    <w:sz w:val="24"/>
                                                    <w:szCs w:val="24"/>
                                                    <w:lang w:val="en-US"/>
                                                  </w:rPr>
                                                </w:pPr>
                                                <w:r w:rsidRPr="008148CB">
                                                  <w:rPr>
                                                    <w:rStyle w:val="Pogrubienie"/>
                                                    <w:rFonts w:ascii="Helvetica" w:hAnsi="Helvetica" w:cs="Helvetica"/>
                                                    <w:i/>
                                                    <w:iCs/>
                                                    <w:color w:val="202020"/>
                                                    <w:sz w:val="27"/>
                                                    <w:szCs w:val="27"/>
                                                    <w:lang w:val="en-US"/>
                                                  </w:rPr>
                                                  <w:t>Dear EPEE Members, </w:t>
                                                </w:r>
                                              </w:p>
                                              <w:p w14:paraId="51DDBC23" w14:textId="77777777" w:rsidR="008148CB" w:rsidRPr="008148CB" w:rsidRDefault="008148CB" w:rsidP="008148CB">
                                                <w:pPr>
                                                  <w:spacing w:before="150" w:after="150" w:line="360" w:lineRule="auto"/>
                                                  <w:rPr>
                                                    <w:rFonts w:ascii="Helvetica" w:hAnsi="Helvetica" w:cs="Helvetica"/>
                                                    <w:color w:val="202020"/>
                                                    <w:sz w:val="24"/>
                                                    <w:szCs w:val="24"/>
                                                    <w:lang w:val="en-US"/>
                                                  </w:rPr>
                                                </w:pPr>
                                                <w:r w:rsidRPr="008148CB">
                                                  <w:rPr>
                                                    <w:rFonts w:ascii="Helvetica" w:hAnsi="Helvetica" w:cs="Helvetica"/>
                                                    <w:color w:val="202020"/>
                                                    <w:sz w:val="24"/>
                                                    <w:szCs w:val="24"/>
                                                    <w:lang w:val="en-US"/>
                                                  </w:rPr>
                                                  <w:t> </w:t>
                                                </w:r>
                                              </w:p>
                                              <w:p w14:paraId="42877E1B" w14:textId="77777777" w:rsidR="008148CB" w:rsidRPr="008148CB" w:rsidRDefault="008148CB" w:rsidP="008148CB">
                                                <w:pPr>
                                                  <w:spacing w:before="150" w:after="150" w:line="360" w:lineRule="auto"/>
                                                  <w:rPr>
                                                    <w:rFonts w:ascii="Helvetica" w:hAnsi="Helvetica" w:cs="Helvetica"/>
                                                    <w:color w:val="202020"/>
                                                    <w:sz w:val="24"/>
                                                    <w:szCs w:val="24"/>
                                                    <w:lang w:val="en-US"/>
                                                  </w:rPr>
                                                </w:pPr>
                                                <w:r w:rsidRPr="008148CB">
                                                  <w:rPr>
                                                    <w:rFonts w:ascii="Helvetica" w:hAnsi="Helvetica" w:cs="Helvetica"/>
                                                    <w:color w:val="202020"/>
                                                    <w:sz w:val="24"/>
                                                    <w:szCs w:val="24"/>
                                                    <w:lang w:val="en-US"/>
                                                  </w:rPr>
                                                  <w:t>Dear Members, </w:t>
                                                </w:r>
                                              </w:p>
                                              <w:p w14:paraId="62FDA128" w14:textId="77777777" w:rsidR="008148CB" w:rsidRPr="008148CB" w:rsidRDefault="008148CB" w:rsidP="008148CB">
                                                <w:pPr>
                                                  <w:spacing w:before="150" w:after="150" w:line="360" w:lineRule="auto"/>
                                                  <w:rPr>
                                                    <w:rFonts w:ascii="Helvetica" w:hAnsi="Helvetica" w:cs="Helvetica"/>
                                                    <w:color w:val="202020"/>
                                                    <w:sz w:val="24"/>
                                                    <w:szCs w:val="24"/>
                                                    <w:lang w:val="en-US"/>
                                                  </w:rPr>
                                                </w:pPr>
                                                <w:r w:rsidRPr="008148CB">
                                                  <w:rPr>
                                                    <w:rFonts w:ascii="Helvetica" w:hAnsi="Helvetica" w:cs="Helvetica"/>
                                                    <w:color w:val="202020"/>
                                                    <w:sz w:val="24"/>
                                                    <w:szCs w:val="24"/>
                                                    <w:lang w:val="en-US"/>
                                                  </w:rPr>
                                                  <w:t>Some EPEE Secretariat news: Russel Patten, decided to leave Grayling, the consulting company which has been managing much of EPEE’s Secretariat for many years. Russel had been Managing Director of the Grayling Brussels office since 2003. But with EPEE he was involved already from 2000, i.e. the year of its inception, so has been an integral part of EPEE’s journey. We are sad to see him leave. While Grayling Brussels is looking for a new Managing Director, the overall management of Grayling’s work for EPEE is being ensured by Jean-Christophe Kremer, whom many of you already know and met at the AGM in May.  </w:t>
                                                </w:r>
                                              </w:p>
                                              <w:p w14:paraId="371C6315" w14:textId="77777777" w:rsidR="008148CB" w:rsidRPr="008148CB" w:rsidRDefault="008148CB" w:rsidP="008148CB">
                                                <w:pPr>
                                                  <w:spacing w:before="150" w:after="150" w:line="360" w:lineRule="auto"/>
                                                  <w:rPr>
                                                    <w:rFonts w:ascii="Helvetica" w:hAnsi="Helvetica" w:cs="Helvetica"/>
                                                    <w:color w:val="202020"/>
                                                    <w:sz w:val="24"/>
                                                    <w:szCs w:val="24"/>
                                                    <w:lang w:val="en-US"/>
                                                  </w:rPr>
                                                </w:pPr>
                                                <w:r w:rsidRPr="008148CB">
                                                  <w:rPr>
                                                    <w:rFonts w:ascii="Helvetica" w:hAnsi="Helvetica" w:cs="Helvetica"/>
                                                    <w:color w:val="202020"/>
                                                    <w:sz w:val="24"/>
                                                    <w:szCs w:val="24"/>
                                                    <w:lang w:val="en-US"/>
                                                  </w:rPr>
                                                  <w:t>Last week, Federica and myself from the Secretariat as well as a number of EPEE members headed to Bangkok to attend the annual Open Ended Working Group (OEWG) where UN countries discussed the implementation of the Kigali Amendment to the Montreal Protocol. It was a great opportunity to physically meet F-Gas policymakers from all around the world and especially Europe to discuss the most topical issues, namely the revision of the EU F-Gas Regulation. We also held a successful side event, of which you can read more below. </w:t>
                                                </w:r>
                                              </w:p>
                                              <w:p w14:paraId="5711F784" w14:textId="77777777" w:rsidR="008148CB" w:rsidRPr="008148CB" w:rsidRDefault="008148CB" w:rsidP="008148CB">
                                                <w:pPr>
                                                  <w:spacing w:before="150" w:after="150" w:line="360" w:lineRule="auto"/>
                                                  <w:rPr>
                                                    <w:rFonts w:ascii="Helvetica" w:hAnsi="Helvetica" w:cs="Helvetica"/>
                                                    <w:color w:val="202020"/>
                                                    <w:sz w:val="24"/>
                                                    <w:szCs w:val="24"/>
                                                    <w:lang w:val="en-US"/>
                                                  </w:rPr>
                                                </w:pPr>
                                                <w:r w:rsidRPr="008148CB">
                                                  <w:rPr>
                                                    <w:rFonts w:ascii="Helvetica" w:hAnsi="Helvetica" w:cs="Helvetica"/>
                                                    <w:color w:val="202020"/>
                                                    <w:sz w:val="24"/>
                                                    <w:szCs w:val="24"/>
                                                    <w:lang w:val="en-US"/>
                                                  </w:rPr>
                                                  <w:lastRenderedPageBreak/>
                                                  <w:t>And finally: This is the last edition of the Bi-Weekly Round-up before EPEE goes into “estivation” – i.e. summer mode - just like all the EU Institutions here in Brussels. The next newsletter will appear on 5 September. On behalf of the whole EPEE Team I wish those of you who also take some kind of summer break a good, relaxing and well-cooled time!  </w:t>
                                                </w:r>
                                              </w:p>
                                              <w:p w14:paraId="67516974" w14:textId="77777777" w:rsidR="008148CB" w:rsidRPr="008148CB" w:rsidRDefault="008148CB" w:rsidP="008148CB">
                                                <w:pPr>
                                                  <w:spacing w:before="150" w:after="150" w:line="360" w:lineRule="auto"/>
                                                  <w:rPr>
                                                    <w:rFonts w:ascii="Helvetica" w:hAnsi="Helvetica" w:cs="Helvetica"/>
                                                    <w:color w:val="202020"/>
                                                    <w:sz w:val="24"/>
                                                    <w:szCs w:val="24"/>
                                                    <w:lang w:val="en-US"/>
                                                  </w:rPr>
                                                </w:pPr>
                                                <w:r w:rsidRPr="008148CB">
                                                  <w:rPr>
                                                    <w:rFonts w:ascii="Helvetica" w:hAnsi="Helvetica" w:cs="Helvetica"/>
                                                    <w:color w:val="202020"/>
                                                    <w:sz w:val="24"/>
                                                    <w:szCs w:val="24"/>
                                                    <w:lang w:val="en-US"/>
                                                  </w:rPr>
                                                  <w:t>Best regards, </w:t>
                                                </w:r>
                                              </w:p>
                                              <w:p w14:paraId="39477390" w14:textId="77777777" w:rsidR="008148CB" w:rsidRPr="008148CB" w:rsidRDefault="008148CB" w:rsidP="008148CB">
                                                <w:pPr>
                                                  <w:spacing w:before="150" w:after="150" w:line="360" w:lineRule="auto"/>
                                                  <w:rPr>
                                                    <w:rFonts w:ascii="Helvetica" w:hAnsi="Helvetica" w:cs="Helvetica"/>
                                                    <w:color w:val="202020"/>
                                                    <w:sz w:val="24"/>
                                                    <w:szCs w:val="24"/>
                                                    <w:lang w:val="en-US"/>
                                                  </w:rPr>
                                                </w:pPr>
                                                <w:r w:rsidRPr="008148CB">
                                                  <w:rPr>
                                                    <w:rFonts w:ascii="Helvetica" w:hAnsi="Helvetica" w:cs="Helvetica"/>
                                                    <w:color w:val="202020"/>
                                                    <w:sz w:val="24"/>
                                                    <w:szCs w:val="24"/>
                                                    <w:lang w:val="en-US"/>
                                                  </w:rPr>
                                                  <w:t>Folker Franz, Director General </w:t>
                                                </w:r>
                                              </w:p>
                                            </w:tc>
                                          </w:tr>
                                        </w:tbl>
                                        <w:p w14:paraId="17F495D6" w14:textId="77777777" w:rsidR="008148CB" w:rsidRPr="008148CB" w:rsidRDefault="008148CB" w:rsidP="008148CB">
                                          <w:pPr>
                                            <w:rPr>
                                              <w:rFonts w:ascii="Times New Roman" w:eastAsia="Times New Roman" w:hAnsi="Times New Roman" w:cs="Times New Roman"/>
                                              <w:sz w:val="20"/>
                                              <w:szCs w:val="20"/>
                                              <w:lang w:val="en-US"/>
                                            </w:rPr>
                                          </w:pPr>
                                        </w:p>
                                      </w:tc>
                                    </w:tr>
                                  </w:tbl>
                                  <w:p w14:paraId="2C501C21" w14:textId="77777777" w:rsidR="008148CB" w:rsidRPr="008148CB" w:rsidRDefault="008148CB" w:rsidP="008148CB">
                                    <w:pPr>
                                      <w:rPr>
                                        <w:rFonts w:ascii="Times New Roman" w:eastAsia="Times New Roman" w:hAnsi="Times New Roman" w:cs="Times New Roman"/>
                                        <w:sz w:val="20"/>
                                        <w:szCs w:val="20"/>
                                        <w:lang w:val="en-US"/>
                                      </w:rPr>
                                    </w:pPr>
                                  </w:p>
                                </w:tc>
                              </w:tr>
                            </w:tbl>
                            <w:p w14:paraId="65189710" w14:textId="77777777" w:rsidR="008148CB" w:rsidRPr="008148CB" w:rsidRDefault="008148CB" w:rsidP="008148CB">
                              <w:pPr>
                                <w:rPr>
                                  <w:rFonts w:eastAsia="Times New Roman"/>
                                  <w:vanish/>
                                  <w:lang w:val="en-US"/>
                                </w:rPr>
                              </w:pPr>
                            </w:p>
                            <w:tbl>
                              <w:tblPr>
                                <w:tblW w:w="5000" w:type="pct"/>
                                <w:tblLayout w:type="fixed"/>
                                <w:tblCellMar>
                                  <w:left w:w="0" w:type="dxa"/>
                                  <w:right w:w="0" w:type="dxa"/>
                                </w:tblCellMar>
                                <w:tblLook w:val="04A0" w:firstRow="1" w:lastRow="0" w:firstColumn="1" w:lastColumn="0" w:noHBand="0" w:noVBand="1"/>
                              </w:tblPr>
                              <w:tblGrid>
                                <w:gridCol w:w="9000"/>
                              </w:tblGrid>
                              <w:tr w:rsidR="008148CB" w:rsidRPr="008148CB" w14:paraId="17C16C2F" w14:textId="77777777">
                                <w:trPr>
                                  <w:hidden/>
                                </w:trPr>
                                <w:tc>
                                  <w:tcPr>
                                    <w:tcW w:w="9072" w:type="dxa"/>
                                    <w:tcMar>
                                      <w:top w:w="270" w:type="dxa"/>
                                      <w:left w:w="270" w:type="dxa"/>
                                      <w:bottom w:w="270" w:type="dxa"/>
                                      <w:right w:w="270" w:type="dxa"/>
                                    </w:tcMar>
                                    <w:vAlign w:val="center"/>
                                    <w:hideMark/>
                                  </w:tcPr>
                                  <w:tbl>
                                    <w:tblPr>
                                      <w:tblW w:w="5000" w:type="pct"/>
                                      <w:tblBorders>
                                        <w:top w:val="single" w:sz="12" w:space="0" w:color="EAEAEA"/>
                                      </w:tblBorders>
                                      <w:tblLayout w:type="fixed"/>
                                      <w:tblCellMar>
                                        <w:left w:w="0" w:type="dxa"/>
                                        <w:right w:w="0" w:type="dxa"/>
                                      </w:tblCellMar>
                                      <w:tblLook w:val="04A0" w:firstRow="1" w:lastRow="0" w:firstColumn="1" w:lastColumn="0" w:noHBand="0" w:noVBand="1"/>
                                    </w:tblPr>
                                    <w:tblGrid>
                                      <w:gridCol w:w="8460"/>
                                    </w:tblGrid>
                                    <w:tr w:rsidR="008148CB" w:rsidRPr="008148CB" w14:paraId="64042824" w14:textId="77777777">
                                      <w:trPr>
                                        <w:hidden/>
                                      </w:trPr>
                                      <w:tc>
                                        <w:tcPr>
                                          <w:tcW w:w="8532" w:type="dxa"/>
                                          <w:tcBorders>
                                            <w:top w:val="single" w:sz="12" w:space="0" w:color="EAEAEA"/>
                                            <w:left w:val="nil"/>
                                            <w:bottom w:val="nil"/>
                                            <w:right w:val="nil"/>
                                          </w:tcBorders>
                                          <w:vAlign w:val="center"/>
                                          <w:hideMark/>
                                        </w:tcPr>
                                        <w:p w14:paraId="7B681BEC" w14:textId="77777777" w:rsidR="008148CB" w:rsidRPr="008148CB" w:rsidRDefault="008148CB" w:rsidP="008148CB">
                                          <w:pPr>
                                            <w:rPr>
                                              <w:rFonts w:eastAsia="Times New Roman"/>
                                              <w:vanish/>
                                              <w:lang w:val="en-US"/>
                                            </w:rPr>
                                          </w:pPr>
                                        </w:p>
                                      </w:tc>
                                    </w:tr>
                                  </w:tbl>
                                  <w:p w14:paraId="0E84CD37" w14:textId="77777777" w:rsidR="008148CB" w:rsidRPr="008148CB" w:rsidRDefault="008148CB" w:rsidP="008148CB">
                                    <w:pPr>
                                      <w:rPr>
                                        <w:rFonts w:ascii="Times New Roman" w:eastAsia="Times New Roman" w:hAnsi="Times New Roman" w:cs="Times New Roman"/>
                                        <w:sz w:val="20"/>
                                        <w:szCs w:val="20"/>
                                        <w:lang w:val="en-US"/>
                                      </w:rPr>
                                    </w:pPr>
                                  </w:p>
                                </w:tc>
                              </w:tr>
                            </w:tbl>
                            <w:p w14:paraId="725FF933" w14:textId="77777777" w:rsidR="008148CB" w:rsidRDefault="008148CB" w:rsidP="008148CB">
                              <w:pPr>
                                <w:rPr>
                                  <w:rFonts w:eastAsia="Times New Roman"/>
                                  <w:vanish/>
                                </w:rPr>
                              </w:pPr>
                            </w:p>
                            <w:tbl>
                              <w:tblPr>
                                <w:tblW w:w="5000" w:type="pct"/>
                                <w:tblLayout w:type="fixed"/>
                                <w:tblCellMar>
                                  <w:left w:w="0" w:type="dxa"/>
                                  <w:right w:w="0" w:type="dxa"/>
                                </w:tblCellMar>
                                <w:tblLook w:val="04A0" w:firstRow="1" w:lastRow="0" w:firstColumn="1" w:lastColumn="0" w:noHBand="0" w:noVBand="1"/>
                              </w:tblPr>
                              <w:tblGrid>
                                <w:gridCol w:w="9000"/>
                              </w:tblGrid>
                              <w:tr w:rsidR="008148CB" w:rsidRPr="008148CB" w14:paraId="2BD3B05A" w14:textId="77777777">
                                <w:tc>
                                  <w:tcPr>
                                    <w:tcW w:w="9072" w:type="dxa"/>
                                    <w:tcMar>
                                      <w:top w:w="135" w:type="dxa"/>
                                      <w:left w:w="270" w:type="dxa"/>
                                      <w:bottom w:w="135" w:type="dxa"/>
                                      <w:right w:w="270" w:type="dxa"/>
                                    </w:tcMar>
                                    <w:hideMark/>
                                  </w:tcPr>
                                  <w:tbl>
                                    <w:tblPr>
                                      <w:tblW w:w="5000" w:type="pct"/>
                                      <w:tblLayout w:type="fixed"/>
                                      <w:tblCellMar>
                                        <w:left w:w="0" w:type="dxa"/>
                                        <w:right w:w="0" w:type="dxa"/>
                                      </w:tblCellMar>
                                      <w:tblLook w:val="04A0" w:firstRow="1" w:lastRow="0" w:firstColumn="1" w:lastColumn="0" w:noHBand="0" w:noVBand="1"/>
                                    </w:tblPr>
                                    <w:tblGrid>
                                      <w:gridCol w:w="8460"/>
                                    </w:tblGrid>
                                    <w:tr w:rsidR="008148CB" w:rsidRPr="008148CB" w14:paraId="6368FF85" w14:textId="77777777">
                                      <w:tc>
                                        <w:tcPr>
                                          <w:tcW w:w="8532" w:type="dxa"/>
                                          <w:shd w:val="clear" w:color="auto" w:fill="F4FDF4"/>
                                          <w:hideMark/>
                                        </w:tcPr>
                                        <w:tbl>
                                          <w:tblPr>
                                            <w:tblpPr w:leftFromText="45" w:rightFromText="45" w:vertAnchor="text"/>
                                            <w:tblW w:w="3000" w:type="dxa"/>
                                            <w:tblLayout w:type="fixed"/>
                                            <w:tblCellMar>
                                              <w:left w:w="0" w:type="dxa"/>
                                              <w:right w:w="0" w:type="dxa"/>
                                            </w:tblCellMar>
                                            <w:tblLook w:val="04A0" w:firstRow="1" w:lastRow="0" w:firstColumn="1" w:lastColumn="0" w:noHBand="0" w:noVBand="1"/>
                                          </w:tblPr>
                                          <w:tblGrid>
                                            <w:gridCol w:w="3000"/>
                                          </w:tblGrid>
                                          <w:tr w:rsidR="008148CB" w14:paraId="6E69EC8C" w14:textId="77777777">
                                            <w:tc>
                                              <w:tcPr>
                                                <w:tcW w:w="3000" w:type="dxa"/>
                                                <w:hideMark/>
                                              </w:tcPr>
                                              <w:p w14:paraId="66E80738" w14:textId="2CFDD4C8" w:rsidR="008148CB" w:rsidRDefault="008148CB" w:rsidP="008148CB">
                                                <w:pPr>
                                                  <w:rPr>
                                                    <w:rFonts w:eastAsia="Times New Roman"/>
                                                  </w:rPr>
                                                </w:pPr>
                                                <w:r>
                                                  <w:rPr>
                                                    <w:rFonts w:eastAsia="Times New Roman"/>
                                                    <w:noProof/>
                                                  </w:rPr>
                                                  <w:drawing>
                                                    <wp:inline distT="0" distB="0" distL="0" distR="0" wp14:anchorId="78B36B76" wp14:editId="2A2372F4">
                                                      <wp:extent cx="1889760" cy="118872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9760" cy="1188720"/>
                                                              </a:xfrm>
                                                              <a:prstGeom prst="rect">
                                                                <a:avLst/>
                                                              </a:prstGeom>
                                                              <a:noFill/>
                                                              <a:ln>
                                                                <a:noFill/>
                                                              </a:ln>
                                                            </pic:spPr>
                                                          </pic:pic>
                                                        </a:graphicData>
                                                      </a:graphic>
                                                    </wp:inline>
                                                  </w:drawing>
                                                </w:r>
                                              </w:p>
                                            </w:tc>
                                          </w:tr>
                                        </w:tbl>
                                        <w:tbl>
                                          <w:tblPr>
                                            <w:tblpPr w:leftFromText="45" w:rightFromText="45" w:vertAnchor="text" w:tblpXSpec="right" w:tblpYSpec="center"/>
                                            <w:tblW w:w="5190" w:type="dxa"/>
                                            <w:tblLayout w:type="fixed"/>
                                            <w:tblCellMar>
                                              <w:left w:w="0" w:type="dxa"/>
                                              <w:right w:w="0" w:type="dxa"/>
                                            </w:tblCellMar>
                                            <w:tblLook w:val="04A0" w:firstRow="1" w:lastRow="0" w:firstColumn="1" w:lastColumn="0" w:noHBand="0" w:noVBand="1"/>
                                          </w:tblPr>
                                          <w:tblGrid>
                                            <w:gridCol w:w="5190"/>
                                          </w:tblGrid>
                                          <w:tr w:rsidR="008148CB" w:rsidRPr="008148CB" w14:paraId="3DE1810A" w14:textId="77777777">
                                            <w:tc>
                                              <w:tcPr>
                                                <w:tcW w:w="5190" w:type="dxa"/>
                                                <w:tcMar>
                                                  <w:top w:w="270" w:type="dxa"/>
                                                  <w:left w:w="0" w:type="dxa"/>
                                                  <w:bottom w:w="270" w:type="dxa"/>
                                                  <w:right w:w="270" w:type="dxa"/>
                                                </w:tcMar>
                                                <w:hideMark/>
                                              </w:tcPr>
                                              <w:p w14:paraId="70A4A4B4" w14:textId="77777777" w:rsidR="008148CB" w:rsidRDefault="008148CB" w:rsidP="008148CB">
                                                <w:pPr>
                                                  <w:spacing w:line="360" w:lineRule="auto"/>
                                                  <w:rPr>
                                                    <w:rFonts w:ascii="Helvetica" w:eastAsia="Times New Roman" w:hAnsi="Helvetica" w:cs="Helvetica"/>
                                                    <w:color w:val="000000"/>
                                                    <w:sz w:val="21"/>
                                                    <w:szCs w:val="21"/>
                                                  </w:rPr>
                                                </w:pPr>
                                                <w:r>
                                                  <w:rPr>
                                                    <w:rStyle w:val="Pogrubienie"/>
                                                    <w:rFonts w:ascii="Helvetica" w:eastAsia="Times New Roman" w:hAnsi="Helvetica" w:cs="Helvetica"/>
                                                    <w:color w:val="008080"/>
                                                    <w:sz w:val="36"/>
                                                    <w:szCs w:val="36"/>
                                                  </w:rPr>
                                                  <w:t>WHAT'S NEW IN THE EU </w:t>
                                                </w:r>
                                              </w:p>
                                              <w:p w14:paraId="774F7251" w14:textId="77777777" w:rsidR="008148CB" w:rsidRPr="008148CB" w:rsidRDefault="008148CB" w:rsidP="008148CB">
                                                <w:pPr>
                                                  <w:numPr>
                                                    <w:ilvl w:val="0"/>
                                                    <w:numId w:val="19"/>
                                                  </w:numPr>
                                                  <w:spacing w:before="100" w:beforeAutospacing="1" w:after="100" w:afterAutospacing="1" w:line="360" w:lineRule="auto"/>
                                                  <w:rPr>
                                                    <w:rFonts w:ascii="Helvetica" w:eastAsia="Times New Roman" w:hAnsi="Helvetica" w:cs="Helvetica"/>
                                                    <w:color w:val="000000"/>
                                                    <w:sz w:val="21"/>
                                                    <w:szCs w:val="21"/>
                                                    <w:lang w:val="en-US"/>
                                                  </w:rPr>
                                                </w:pPr>
                                                <w:r w:rsidRPr="008148CB">
                                                  <w:rPr>
                                                    <w:rStyle w:val="Pogrubienie"/>
                                                    <w:rFonts w:ascii="Helvetica" w:eastAsia="Times New Roman" w:hAnsi="Helvetica" w:cs="Helvetica"/>
                                                    <w:color w:val="000000"/>
                                                    <w:sz w:val="21"/>
                                                    <w:szCs w:val="21"/>
                                                    <w:lang w:val="en-US"/>
                                                  </w:rPr>
                                                  <w:t>EU Parliament Energy Committee adopts position on the recast Energy Efficiency and Renewable Energy Directives</w:t>
                                                </w:r>
                                              </w:p>
                                            </w:tc>
                                          </w:tr>
                                        </w:tbl>
                                        <w:p w14:paraId="0F2040F7" w14:textId="77777777" w:rsidR="008148CB" w:rsidRPr="008148CB" w:rsidRDefault="008148CB" w:rsidP="008148CB">
                                          <w:pPr>
                                            <w:rPr>
                                              <w:rFonts w:ascii="Times New Roman" w:eastAsia="Times New Roman" w:hAnsi="Times New Roman" w:cs="Times New Roman"/>
                                              <w:sz w:val="20"/>
                                              <w:szCs w:val="20"/>
                                              <w:lang w:val="en-US"/>
                                            </w:rPr>
                                          </w:pPr>
                                        </w:p>
                                      </w:tc>
                                    </w:tr>
                                  </w:tbl>
                                  <w:p w14:paraId="4E1F8F92" w14:textId="77777777" w:rsidR="008148CB" w:rsidRPr="008148CB" w:rsidRDefault="008148CB" w:rsidP="008148CB">
                                    <w:pPr>
                                      <w:rPr>
                                        <w:rFonts w:ascii="Times New Roman" w:eastAsia="Times New Roman" w:hAnsi="Times New Roman" w:cs="Times New Roman"/>
                                        <w:sz w:val="20"/>
                                        <w:szCs w:val="20"/>
                                        <w:lang w:val="en-US"/>
                                      </w:rPr>
                                    </w:pPr>
                                  </w:p>
                                </w:tc>
                              </w:tr>
                            </w:tbl>
                            <w:p w14:paraId="73213E24" w14:textId="77777777" w:rsidR="008148CB" w:rsidRPr="008148CB" w:rsidRDefault="008148CB" w:rsidP="008148CB">
                              <w:pPr>
                                <w:rPr>
                                  <w:rFonts w:eastAsia="Times New Roman"/>
                                  <w:vanish/>
                                  <w:lang w:val="en-US"/>
                                </w:rPr>
                              </w:pPr>
                            </w:p>
                            <w:tbl>
                              <w:tblPr>
                                <w:tblW w:w="5000" w:type="pct"/>
                                <w:tblLayout w:type="fixed"/>
                                <w:tblCellMar>
                                  <w:left w:w="0" w:type="dxa"/>
                                  <w:right w:w="0" w:type="dxa"/>
                                </w:tblCellMar>
                                <w:tblLook w:val="04A0" w:firstRow="1" w:lastRow="0" w:firstColumn="1" w:lastColumn="0" w:noHBand="0" w:noVBand="1"/>
                              </w:tblPr>
                              <w:tblGrid>
                                <w:gridCol w:w="9000"/>
                              </w:tblGrid>
                              <w:tr w:rsidR="008148CB" w14:paraId="263EDCBF" w14:textId="77777777">
                                <w:trPr>
                                  <w:hidden/>
                                </w:trPr>
                                <w:tc>
                                  <w:tcPr>
                                    <w:tcW w:w="9072" w:type="dxa"/>
                                    <w:vAlign w:val="center"/>
                                    <w:hideMark/>
                                  </w:tcPr>
                                  <w:tbl>
                                    <w:tblPr>
                                      <w:tblW w:w="5000" w:type="pct"/>
                                      <w:jc w:val="center"/>
                                      <w:tblLayout w:type="fixed"/>
                                      <w:tblCellMar>
                                        <w:left w:w="0" w:type="dxa"/>
                                        <w:right w:w="0" w:type="dxa"/>
                                      </w:tblCellMar>
                                      <w:tblLook w:val="04A0" w:firstRow="1" w:lastRow="0" w:firstColumn="1" w:lastColumn="0" w:noHBand="0" w:noVBand="1"/>
                                    </w:tblPr>
                                    <w:tblGrid>
                                      <w:gridCol w:w="20"/>
                                      <w:gridCol w:w="8980"/>
                                    </w:tblGrid>
                                    <w:tr w:rsidR="008148CB" w14:paraId="7225826F" w14:textId="77777777">
                                      <w:trPr>
                                        <w:jc w:val="center"/>
                                        <w:hidden/>
                                      </w:trPr>
                                      <w:tc>
                                        <w:tcPr>
                                          <w:tcW w:w="6" w:type="dxa"/>
                                          <w:hideMark/>
                                        </w:tcPr>
                                        <w:p w14:paraId="5D59D5ED" w14:textId="77777777" w:rsidR="008148CB" w:rsidRPr="008148CB" w:rsidRDefault="008148CB" w:rsidP="008148CB">
                                          <w:pPr>
                                            <w:rPr>
                                              <w:rFonts w:eastAsia="Times New Roman"/>
                                              <w:vanish/>
                                              <w:lang w:val="en-US"/>
                                            </w:rPr>
                                          </w:pPr>
                                        </w:p>
                                      </w:tc>
                                      <w:tc>
                                        <w:tcPr>
                                          <w:tcW w:w="9066" w:type="dxa"/>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8980"/>
                                          </w:tblGrid>
                                          <w:tr w:rsidR="008148CB" w14:paraId="2D6FD941" w14:textId="77777777">
                                            <w:tc>
                                              <w:tcPr>
                                                <w:tcW w:w="9066" w:type="dxa"/>
                                                <w:tcMar>
                                                  <w:top w:w="135" w:type="dxa"/>
                                                  <w:left w:w="270" w:type="dxa"/>
                                                  <w:bottom w:w="135" w:type="dxa"/>
                                                  <w:right w:w="270" w:type="dxa"/>
                                                </w:tcMar>
                                                <w:vAlign w:val="center"/>
                                                <w:hideMark/>
                                              </w:tcPr>
                                              <w:tbl>
                                                <w:tblPr>
                                                  <w:tblW w:w="5000" w:type="pct"/>
                                                  <w:shd w:val="clear" w:color="auto" w:fill="F4FDF4"/>
                                                  <w:tblLayout w:type="fixed"/>
                                                  <w:tblLook w:val="04A0" w:firstRow="1" w:lastRow="0" w:firstColumn="1" w:lastColumn="0" w:noHBand="0" w:noVBand="1"/>
                                                </w:tblPr>
                                                <w:tblGrid>
                                                  <w:gridCol w:w="8440"/>
                                                </w:tblGrid>
                                                <w:tr w:rsidR="008148CB" w14:paraId="47F199ED" w14:textId="77777777">
                                                  <w:tc>
                                                    <w:tcPr>
                                                      <w:tcW w:w="8526" w:type="dxa"/>
                                                      <w:shd w:val="clear" w:color="auto" w:fill="F4FDF4"/>
                                                      <w:tcMar>
                                                        <w:top w:w="270" w:type="dxa"/>
                                                        <w:left w:w="270" w:type="dxa"/>
                                                        <w:bottom w:w="270" w:type="dxa"/>
                                                        <w:right w:w="270" w:type="dxa"/>
                                                      </w:tcMar>
                                                      <w:hideMark/>
                                                    </w:tcPr>
                                                    <w:p w14:paraId="5A70BFD6" w14:textId="77777777" w:rsidR="008148CB" w:rsidRPr="008148CB" w:rsidRDefault="008148CB" w:rsidP="008148CB">
                                                      <w:pPr>
                                                        <w:spacing w:before="150" w:after="150" w:line="360" w:lineRule="auto"/>
                                                        <w:jc w:val="both"/>
                                                        <w:rPr>
                                                          <w:rFonts w:ascii="Helvetica" w:hAnsi="Helvetica" w:cs="Helvetica"/>
                                                          <w:color w:val="222222"/>
                                                          <w:sz w:val="21"/>
                                                          <w:szCs w:val="21"/>
                                                          <w:lang w:val="en-US"/>
                                                        </w:rPr>
                                                      </w:pPr>
                                                      <w:r w:rsidRPr="008148CB">
                                                        <w:rPr>
                                                          <w:rStyle w:val="Pogrubienie"/>
                                                          <w:rFonts w:ascii="Helvetica" w:hAnsi="Helvetica" w:cs="Helvetica"/>
                                                          <w:color w:val="222222"/>
                                                          <w:sz w:val="21"/>
                                                          <w:szCs w:val="21"/>
                                                          <w:lang w:val="en-US"/>
                                                        </w:rPr>
                                                        <w:t>MEPs vote to back boost for renewables use and energy savings </w:t>
                                                      </w:r>
                                                    </w:p>
                                                    <w:p w14:paraId="327C4D4F" w14:textId="77777777" w:rsidR="008148CB" w:rsidRPr="008148CB" w:rsidRDefault="008148CB" w:rsidP="008148CB">
                                                      <w:pPr>
                                                        <w:spacing w:before="150" w:after="150" w:line="360" w:lineRule="auto"/>
                                                        <w:jc w:val="both"/>
                                                        <w:rPr>
                                                          <w:rFonts w:ascii="Helvetica" w:hAnsi="Helvetica" w:cs="Helvetica"/>
                                                          <w:color w:val="222222"/>
                                                          <w:sz w:val="21"/>
                                                          <w:szCs w:val="21"/>
                                                          <w:lang w:val="en-US"/>
                                                        </w:rPr>
                                                      </w:pPr>
                                                      <w:r w:rsidRPr="008148CB">
                                                        <w:rPr>
                                                          <w:rFonts w:ascii="Helvetica" w:hAnsi="Helvetica" w:cs="Helvetica"/>
                                                          <w:color w:val="222222"/>
                                                          <w:sz w:val="21"/>
                                                          <w:szCs w:val="21"/>
                                                          <w:lang w:val="en-US"/>
                                                        </w:rPr>
                                                        <w:t xml:space="preserve">On 13 July MEPs in the European Parliament’s Industry, Research and Energy (ITRE) Committee </w:t>
                                                      </w:r>
                                                      <w:hyperlink r:id="rId16" w:tgtFrame="_blank" w:history="1">
                                                        <w:r w:rsidRPr="008148CB">
                                                          <w:rPr>
                                                            <w:rStyle w:val="Hipercze"/>
                                                            <w:rFonts w:ascii="Helvetica" w:hAnsi="Helvetica" w:cs="Helvetica"/>
                                                            <w:color w:val="007C89"/>
                                                            <w:sz w:val="21"/>
                                                            <w:szCs w:val="21"/>
                                                            <w:lang w:val="en-US"/>
                                                          </w:rPr>
                                                          <w:t>agreed</w:t>
                                                        </w:r>
                                                      </w:hyperlink>
                                                      <w:r w:rsidRPr="008148CB">
                                                        <w:rPr>
                                                          <w:rFonts w:ascii="Helvetica" w:hAnsi="Helvetica" w:cs="Helvetica"/>
                                                          <w:color w:val="222222"/>
                                                          <w:sz w:val="21"/>
                                                          <w:szCs w:val="21"/>
                                                          <w:lang w:val="en-US"/>
                                                        </w:rPr>
                                                        <w:t xml:space="preserve"> on amended texts for recasts of the Energy Efficiency Directive (EED) and Renewable Energy Directive (RED).  </w:t>
                                                      </w:r>
                                                    </w:p>
                                                    <w:p w14:paraId="65AE9DFF" w14:textId="77777777" w:rsidR="008148CB" w:rsidRPr="008148CB" w:rsidRDefault="008148CB" w:rsidP="008148CB">
                                                      <w:pPr>
                                                        <w:numPr>
                                                          <w:ilvl w:val="0"/>
                                                          <w:numId w:val="20"/>
                                                        </w:numPr>
                                                        <w:spacing w:before="150" w:after="150" w:line="360" w:lineRule="auto"/>
                                                        <w:jc w:val="both"/>
                                                        <w:rPr>
                                                          <w:rFonts w:ascii="Helvetica" w:hAnsi="Helvetica" w:cs="Helvetica"/>
                                                          <w:color w:val="222222"/>
                                                          <w:sz w:val="21"/>
                                                          <w:szCs w:val="21"/>
                                                          <w:lang w:val="en-US"/>
                                                        </w:rPr>
                                                      </w:pPr>
                                                      <w:r w:rsidRPr="008148CB">
                                                        <w:rPr>
                                                          <w:rStyle w:val="Pogrubienie"/>
                                                          <w:rFonts w:ascii="Helvetica" w:hAnsi="Helvetica" w:cs="Helvetica"/>
                                                          <w:color w:val="222222"/>
                                                          <w:sz w:val="21"/>
                                                          <w:szCs w:val="21"/>
                                                          <w:lang w:val="en-US"/>
                                                        </w:rPr>
                                                        <w:t>RED</w:t>
                                                      </w:r>
                                                      <w:r w:rsidRPr="008148CB">
                                                        <w:rPr>
                                                          <w:rFonts w:ascii="Helvetica" w:hAnsi="Helvetica" w:cs="Helvetica"/>
                                                          <w:color w:val="222222"/>
                                                          <w:sz w:val="21"/>
                                                          <w:szCs w:val="21"/>
                                                          <w:lang w:val="en-US"/>
                                                        </w:rPr>
                                                        <w:t>: The MEPs voted to raise the share of renewables in the EU’s final energy consumption to 45% by 2030 in the revision of the Renewable Energy Directive (RED). They also asked for EU member states to set a target for innovative renewable energy technology of at least 5% of newly installed renewable energy capacity in reference to “hybrid heat pumps” combining clean and fossil fuel energy.  </w:t>
                                                      </w:r>
                                                    </w:p>
                                                    <w:p w14:paraId="76F038B8" w14:textId="77777777" w:rsidR="008148CB" w:rsidRPr="008148CB" w:rsidRDefault="008148CB" w:rsidP="008148CB">
                                                      <w:pPr>
                                                        <w:numPr>
                                                          <w:ilvl w:val="0"/>
                                                          <w:numId w:val="20"/>
                                                        </w:numPr>
                                                        <w:spacing w:before="150" w:after="150" w:line="360" w:lineRule="auto"/>
                                                        <w:jc w:val="both"/>
                                                        <w:rPr>
                                                          <w:rFonts w:ascii="Helvetica" w:hAnsi="Helvetica" w:cs="Helvetica"/>
                                                          <w:color w:val="222222"/>
                                                          <w:sz w:val="21"/>
                                                          <w:szCs w:val="21"/>
                                                          <w:lang w:val="en-US"/>
                                                        </w:rPr>
                                                      </w:pPr>
                                                      <w:r w:rsidRPr="008148CB">
                                                        <w:rPr>
                                                          <w:rStyle w:val="Pogrubienie"/>
                                                          <w:rFonts w:ascii="Helvetica" w:hAnsi="Helvetica" w:cs="Helvetica"/>
                                                          <w:color w:val="222222"/>
                                                          <w:sz w:val="21"/>
                                                          <w:szCs w:val="21"/>
                                                          <w:lang w:val="en-US"/>
                                                        </w:rPr>
                                                        <w:t>EED</w:t>
                                                      </w:r>
                                                      <w:r w:rsidRPr="008148CB">
                                                        <w:rPr>
                                                          <w:rFonts w:ascii="Helvetica" w:hAnsi="Helvetica" w:cs="Helvetica"/>
                                                          <w:color w:val="222222"/>
                                                          <w:sz w:val="21"/>
                                                          <w:szCs w:val="21"/>
                                                          <w:lang w:val="en-US"/>
                                                        </w:rPr>
                                                        <w:t xml:space="preserve">: ITRE approved the Commission’s proposal of a binding EU 2030 energy efficiency target (both for primary and final energy). MEPs raised the EU target for reducing final and primary energy consumption. According to the adopted amendments, Member States will need to ensure a reduction of energy </w:t>
                                                      </w:r>
                                                      <w:r w:rsidRPr="008148CB">
                                                        <w:rPr>
                                                          <w:rFonts w:ascii="Helvetica" w:hAnsi="Helvetica" w:cs="Helvetica"/>
                                                          <w:color w:val="222222"/>
                                                          <w:sz w:val="21"/>
                                                          <w:szCs w:val="21"/>
                                                          <w:lang w:val="en-US"/>
                                                        </w:rPr>
                                                        <w:lastRenderedPageBreak/>
                                                        <w:t>consumption of at least 40% by 2030 in final energy consumption and 42.5% in primary energy consumption compared to 2007 projections.  </w:t>
                                                      </w:r>
                                                    </w:p>
                                                    <w:p w14:paraId="78BCD90F" w14:textId="77777777" w:rsidR="008148CB" w:rsidRPr="008148CB" w:rsidRDefault="008148CB" w:rsidP="008148CB">
                                                      <w:pPr>
                                                        <w:numPr>
                                                          <w:ilvl w:val="0"/>
                                                          <w:numId w:val="20"/>
                                                        </w:numPr>
                                                        <w:spacing w:before="150" w:after="150" w:line="360" w:lineRule="auto"/>
                                                        <w:jc w:val="both"/>
                                                        <w:rPr>
                                                          <w:rFonts w:ascii="Helvetica" w:hAnsi="Helvetica" w:cs="Helvetica"/>
                                                          <w:color w:val="222222"/>
                                                          <w:sz w:val="21"/>
                                                          <w:szCs w:val="21"/>
                                                          <w:lang w:val="en-US"/>
                                                        </w:rPr>
                                                      </w:pPr>
                                                      <w:r w:rsidRPr="008148CB">
                                                        <w:rPr>
                                                          <w:rFonts w:ascii="Helvetica" w:hAnsi="Helvetica" w:cs="Helvetica"/>
                                                          <w:color w:val="222222"/>
                                                          <w:sz w:val="21"/>
                                                          <w:szCs w:val="21"/>
                                                          <w:lang w:val="en-US"/>
                                                        </w:rPr>
                                                        <w:t xml:space="preserve">On the energy efficiency first principle (article 3), MEPs in the ITRE Committee agreed to increase the reliability of the application of the principle by clarifying that energy efficiency solutions should also take into account demand-side resources and system flexibilities. the principle must be assessed (and not anymore “taken into account”) both in the planning but also in the design of policy and major investment decisions. In that process, the compromise amendments add that Member States should take into account both the Commission’s </w:t>
                                                      </w:r>
                                                      <w:hyperlink r:id="rId17" w:tgtFrame="_blank" w:history="1">
                                                        <w:r w:rsidRPr="008148CB">
                                                          <w:rPr>
                                                            <w:rStyle w:val="Hipercze"/>
                                                            <w:rFonts w:ascii="Helvetica" w:hAnsi="Helvetica" w:cs="Helvetica"/>
                                                            <w:color w:val="007C89"/>
                                                            <w:sz w:val="21"/>
                                                            <w:szCs w:val="21"/>
                                                            <w:lang w:val="en-US"/>
                                                          </w:rPr>
                                                          <w:t>recommendations</w:t>
                                                        </w:r>
                                                      </w:hyperlink>
                                                      <w:r w:rsidRPr="008148CB">
                                                        <w:rPr>
                                                          <w:rFonts w:ascii="Helvetica" w:hAnsi="Helvetica" w:cs="Helvetica"/>
                                                          <w:color w:val="222222"/>
                                                          <w:sz w:val="21"/>
                                                          <w:szCs w:val="21"/>
                                                          <w:lang w:val="en-US"/>
                                                        </w:rPr>
                                                        <w:t xml:space="preserve"> and </w:t>
                                                      </w:r>
                                                      <w:hyperlink r:id="rId18" w:tgtFrame="_blank" w:history="1">
                                                        <w:r w:rsidRPr="008148CB">
                                                          <w:rPr>
                                                            <w:rStyle w:val="Hipercze"/>
                                                            <w:rFonts w:ascii="Helvetica" w:hAnsi="Helvetica" w:cs="Helvetica"/>
                                                            <w:color w:val="007C89"/>
                                                            <w:sz w:val="21"/>
                                                            <w:szCs w:val="21"/>
                                                            <w:lang w:val="en-US"/>
                                                          </w:rPr>
                                                          <w:t>guidelines</w:t>
                                                        </w:r>
                                                      </w:hyperlink>
                                                      <w:r w:rsidRPr="008148CB">
                                                        <w:rPr>
                                                          <w:rFonts w:ascii="Helvetica" w:hAnsi="Helvetica" w:cs="Helvetica"/>
                                                          <w:color w:val="222222"/>
                                                          <w:sz w:val="21"/>
                                                          <w:szCs w:val="21"/>
                                                          <w:lang w:val="en-US"/>
                                                        </w:rPr>
                                                        <w:t xml:space="preserve"> on the Energy Efficiency First principle. </w:t>
                                                      </w:r>
                                                    </w:p>
                                                    <w:p w14:paraId="7FE01C24" w14:textId="77777777" w:rsidR="008148CB" w:rsidRPr="008148CB" w:rsidRDefault="008148CB" w:rsidP="008148CB">
                                                      <w:pPr>
                                                        <w:numPr>
                                                          <w:ilvl w:val="0"/>
                                                          <w:numId w:val="20"/>
                                                        </w:numPr>
                                                        <w:spacing w:before="150" w:after="150" w:line="360" w:lineRule="auto"/>
                                                        <w:jc w:val="both"/>
                                                        <w:rPr>
                                                          <w:rFonts w:ascii="Helvetica" w:hAnsi="Helvetica" w:cs="Helvetica"/>
                                                          <w:color w:val="222222"/>
                                                          <w:sz w:val="21"/>
                                                          <w:szCs w:val="21"/>
                                                          <w:lang w:val="en-US"/>
                                                        </w:rPr>
                                                      </w:pPr>
                                                      <w:r w:rsidRPr="008148CB">
                                                        <w:rPr>
                                                          <w:rFonts w:ascii="Helvetica" w:hAnsi="Helvetica" w:cs="Helvetica"/>
                                                          <w:color w:val="222222"/>
                                                          <w:sz w:val="21"/>
                                                          <w:szCs w:val="21"/>
                                                          <w:lang w:val="en-US"/>
                                                        </w:rPr>
                                                        <w:t>The adopted amendment on energy savings obligations (article 8-9-10) raised the annual rate from 1.5% to 2% from 2024 onwards.  </w:t>
                                                      </w:r>
                                                    </w:p>
                                                    <w:p w14:paraId="53A48F7B" w14:textId="77777777" w:rsidR="008148CB" w:rsidRPr="008148CB" w:rsidRDefault="008148CB" w:rsidP="008148CB">
                                                      <w:pPr>
                                                        <w:numPr>
                                                          <w:ilvl w:val="0"/>
                                                          <w:numId w:val="20"/>
                                                        </w:numPr>
                                                        <w:spacing w:before="150" w:after="150" w:line="360" w:lineRule="auto"/>
                                                        <w:jc w:val="both"/>
                                                        <w:rPr>
                                                          <w:rFonts w:ascii="Helvetica" w:hAnsi="Helvetica" w:cs="Helvetica"/>
                                                          <w:color w:val="222222"/>
                                                          <w:sz w:val="21"/>
                                                          <w:szCs w:val="21"/>
                                                          <w:lang w:val="en-US"/>
                                                        </w:rPr>
                                                      </w:pPr>
                                                      <w:r w:rsidRPr="008148CB">
                                                        <w:rPr>
                                                          <w:rFonts w:ascii="Helvetica" w:hAnsi="Helvetica" w:cs="Helvetica"/>
                                                          <w:color w:val="222222"/>
                                                          <w:sz w:val="21"/>
                                                          <w:szCs w:val="21"/>
                                                          <w:lang w:val="en-US"/>
                                                        </w:rPr>
                                                        <w:t>On public buildings, the compromise text proposes to increase the scope of the 3% renovation requirement to buildings owned by public bodies, buildings occupied (either newly occupied or when reaching a trigger point) by public bodies, and buildings for social purposes. Those buildings must be renovated either to NZEB or the new Zero-Emission Building standard, in line with the recast of the Energy Performance of Buildings Directive (EPBD). </w:t>
                                                      </w:r>
                                                    </w:p>
                                                    <w:p w14:paraId="6B214C01" w14:textId="77777777" w:rsidR="008148CB" w:rsidRPr="008148CB" w:rsidRDefault="008148CB" w:rsidP="008148CB">
                                                      <w:pPr>
                                                        <w:numPr>
                                                          <w:ilvl w:val="0"/>
                                                          <w:numId w:val="20"/>
                                                        </w:numPr>
                                                        <w:spacing w:before="150" w:after="150" w:line="360" w:lineRule="auto"/>
                                                        <w:jc w:val="both"/>
                                                        <w:rPr>
                                                          <w:rFonts w:ascii="Helvetica" w:hAnsi="Helvetica" w:cs="Helvetica"/>
                                                          <w:color w:val="222222"/>
                                                          <w:sz w:val="21"/>
                                                          <w:szCs w:val="21"/>
                                                          <w:lang w:val="en-US"/>
                                                        </w:rPr>
                                                      </w:pPr>
                                                      <w:r w:rsidRPr="008148CB">
                                                        <w:rPr>
                                                          <w:rFonts w:ascii="Helvetica" w:hAnsi="Helvetica" w:cs="Helvetica"/>
                                                          <w:color w:val="222222"/>
                                                          <w:sz w:val="21"/>
                                                          <w:szCs w:val="21"/>
                                                          <w:lang w:val="en-US"/>
                                                        </w:rPr>
                                                        <w:t>ITRE MEPs also backed ambitious measures on data centre sustainability. According to the adopted amendment, data centres with a total rated energy input exceeding 100 kW will be required to utilise the waste heat or other waste heat recovery applications unless it can show that it is not technically or economically feasible. In addition, a new article is introduced requiring data centres with an installed IT power demand of at least 100 kW to report on a set of sustainability indicators. </w:t>
                                                      </w:r>
                                                    </w:p>
                                                    <w:p w14:paraId="776DB8E6" w14:textId="77777777" w:rsidR="008148CB" w:rsidRPr="008148CB" w:rsidRDefault="008148CB" w:rsidP="008148CB">
                                                      <w:pPr>
                                                        <w:numPr>
                                                          <w:ilvl w:val="0"/>
                                                          <w:numId w:val="20"/>
                                                        </w:numPr>
                                                        <w:spacing w:before="150" w:after="150" w:line="360" w:lineRule="auto"/>
                                                        <w:jc w:val="both"/>
                                                        <w:rPr>
                                                          <w:rFonts w:ascii="Helvetica" w:hAnsi="Helvetica" w:cs="Helvetica"/>
                                                          <w:color w:val="222222"/>
                                                          <w:sz w:val="21"/>
                                                          <w:szCs w:val="21"/>
                                                          <w:lang w:val="en-US"/>
                                                        </w:rPr>
                                                      </w:pPr>
                                                      <w:r w:rsidRPr="008148CB">
                                                        <w:rPr>
                                                          <w:rFonts w:ascii="Helvetica" w:hAnsi="Helvetica" w:cs="Helvetica"/>
                                                          <w:color w:val="222222"/>
                                                          <w:sz w:val="21"/>
                                                          <w:szCs w:val="21"/>
                                                          <w:lang w:val="en-US"/>
                                                        </w:rPr>
                                                        <w:t>Finally, the compromise text also includes a number of amendments to increase the ambitions on heating and cooling, such as an acceleration of the decarbonisation timeline of district heating and cooling and a requirement for Member States to develop strategies to plan the replacement of heating and cooling appliances in public bodies and put forward local heating and cooling plans. </w:t>
                                                      </w:r>
                                                    </w:p>
                                                    <w:p w14:paraId="475B372E" w14:textId="77777777" w:rsidR="008148CB" w:rsidRPr="008148CB" w:rsidRDefault="008148CB" w:rsidP="008148CB">
                                                      <w:pPr>
                                                        <w:spacing w:before="150" w:after="150" w:line="360" w:lineRule="auto"/>
                                                        <w:jc w:val="both"/>
                                                        <w:rPr>
                                                          <w:rFonts w:ascii="Helvetica" w:hAnsi="Helvetica" w:cs="Helvetica"/>
                                                          <w:color w:val="222222"/>
                                                          <w:sz w:val="21"/>
                                                          <w:szCs w:val="21"/>
                                                          <w:lang w:val="en-US"/>
                                                        </w:rPr>
                                                      </w:pPr>
                                                      <w:r w:rsidRPr="008148CB">
                                                        <w:rPr>
                                                          <w:rStyle w:val="Pogrubienie"/>
                                                          <w:rFonts w:ascii="Helvetica" w:hAnsi="Helvetica" w:cs="Helvetica"/>
                                                          <w:color w:val="222222"/>
                                                          <w:sz w:val="21"/>
                                                          <w:szCs w:val="21"/>
                                                          <w:lang w:val="en-US"/>
                                                        </w:rPr>
                                                        <w:t>Next step</w:t>
                                                      </w:r>
                                                      <w:r w:rsidRPr="008148CB">
                                                        <w:rPr>
                                                          <w:rFonts w:ascii="Helvetica" w:hAnsi="Helvetica" w:cs="Helvetica"/>
                                                          <w:color w:val="222222"/>
                                                          <w:sz w:val="21"/>
                                                          <w:szCs w:val="21"/>
                                                          <w:lang w:val="en-US"/>
                                                        </w:rPr>
                                                        <w:t>: The plenary vote on the EED/RED recasts is planned for 12-15 September, after which trilogue negotiations will begin. </w:t>
                                                      </w:r>
                                                    </w:p>
                                                    <w:p w14:paraId="1160C1A5" w14:textId="7833BC83" w:rsidR="008148CB" w:rsidRDefault="008148CB" w:rsidP="008148CB">
                                                      <w:pPr>
                                                        <w:spacing w:line="360" w:lineRule="auto"/>
                                                        <w:jc w:val="center"/>
                                                        <w:rPr>
                                                          <w:rFonts w:ascii="Helvetica" w:eastAsia="Times New Roman" w:hAnsi="Helvetica" w:cs="Helvetica"/>
                                                          <w:color w:val="222222"/>
                                                          <w:sz w:val="21"/>
                                                          <w:szCs w:val="21"/>
                                                        </w:rPr>
                                                      </w:pPr>
                                                      <w:r>
                                                        <w:rPr>
                                                          <w:rFonts w:ascii="Helvetica" w:eastAsia="Times New Roman" w:hAnsi="Helvetica" w:cs="Helvetica"/>
                                                          <w:noProof/>
                                                          <w:color w:val="222222"/>
                                                          <w:sz w:val="21"/>
                                                          <w:szCs w:val="21"/>
                                                        </w:rPr>
                                                        <w:lastRenderedPageBreak/>
                                                        <w:drawing>
                                                          <wp:inline distT="0" distB="0" distL="0" distR="0" wp14:anchorId="162E7738" wp14:editId="453E0ADE">
                                                            <wp:extent cx="2857500" cy="1905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14:paraId="1AAB01C6" w14:textId="77777777" w:rsidR="008148CB" w:rsidRDefault="008148CB" w:rsidP="008148CB">
                                                <w:pPr>
                                                  <w:rPr>
                                                    <w:rFonts w:ascii="Times New Roman" w:eastAsia="Times New Roman" w:hAnsi="Times New Roman" w:cs="Times New Roman"/>
                                                    <w:sz w:val="20"/>
                                                    <w:szCs w:val="20"/>
                                                  </w:rPr>
                                                </w:pPr>
                                              </w:p>
                                            </w:tc>
                                          </w:tr>
                                        </w:tbl>
                                        <w:p w14:paraId="36EE61AA" w14:textId="77777777" w:rsidR="008148CB" w:rsidRDefault="008148CB" w:rsidP="008148CB">
                                          <w:pPr>
                                            <w:rPr>
                                              <w:rFonts w:ascii="Times New Roman" w:eastAsia="Times New Roman" w:hAnsi="Times New Roman" w:cs="Times New Roman"/>
                                              <w:sz w:val="20"/>
                                              <w:szCs w:val="20"/>
                                            </w:rPr>
                                          </w:pPr>
                                        </w:p>
                                      </w:tc>
                                    </w:tr>
                                  </w:tbl>
                                  <w:p w14:paraId="2409C7B3" w14:textId="77777777" w:rsidR="008148CB" w:rsidRDefault="008148CB" w:rsidP="008148CB">
                                    <w:pPr>
                                      <w:jc w:val="center"/>
                                      <w:rPr>
                                        <w:rFonts w:ascii="Times New Roman" w:eastAsia="Times New Roman" w:hAnsi="Times New Roman" w:cs="Times New Roman"/>
                                        <w:sz w:val="20"/>
                                        <w:szCs w:val="20"/>
                                      </w:rPr>
                                    </w:pPr>
                                  </w:p>
                                </w:tc>
                              </w:tr>
                            </w:tbl>
                            <w:p w14:paraId="54A74023" w14:textId="77777777" w:rsidR="008148CB" w:rsidRDefault="008148CB" w:rsidP="008148CB">
                              <w:pPr>
                                <w:rPr>
                                  <w:rFonts w:eastAsia="Times New Roman"/>
                                  <w:vanish/>
                                </w:rPr>
                              </w:pPr>
                            </w:p>
                            <w:tbl>
                              <w:tblPr>
                                <w:tblW w:w="5000" w:type="pct"/>
                                <w:tblLayout w:type="fixed"/>
                                <w:tblCellMar>
                                  <w:left w:w="0" w:type="dxa"/>
                                  <w:right w:w="0" w:type="dxa"/>
                                </w:tblCellMar>
                                <w:tblLook w:val="04A0" w:firstRow="1" w:lastRow="0" w:firstColumn="1" w:lastColumn="0" w:noHBand="0" w:noVBand="1"/>
                              </w:tblPr>
                              <w:tblGrid>
                                <w:gridCol w:w="9000"/>
                              </w:tblGrid>
                              <w:tr w:rsidR="008148CB" w14:paraId="05E64455" w14:textId="77777777">
                                <w:trPr>
                                  <w:hidden/>
                                </w:trPr>
                                <w:tc>
                                  <w:tcPr>
                                    <w:tcW w:w="9072" w:type="dxa"/>
                                    <w:vAlign w:val="center"/>
                                    <w:hideMark/>
                                  </w:tcPr>
                                  <w:tbl>
                                    <w:tblPr>
                                      <w:tblW w:w="5000" w:type="pct"/>
                                      <w:jc w:val="center"/>
                                      <w:tblLayout w:type="fixed"/>
                                      <w:tblCellMar>
                                        <w:left w:w="0" w:type="dxa"/>
                                        <w:right w:w="0" w:type="dxa"/>
                                      </w:tblCellMar>
                                      <w:tblLook w:val="04A0" w:firstRow="1" w:lastRow="0" w:firstColumn="1" w:lastColumn="0" w:noHBand="0" w:noVBand="1"/>
                                    </w:tblPr>
                                    <w:tblGrid>
                                      <w:gridCol w:w="20"/>
                                      <w:gridCol w:w="8980"/>
                                    </w:tblGrid>
                                    <w:tr w:rsidR="008148CB" w14:paraId="333772C8" w14:textId="77777777">
                                      <w:trPr>
                                        <w:jc w:val="center"/>
                                        <w:hidden/>
                                      </w:trPr>
                                      <w:tc>
                                        <w:tcPr>
                                          <w:tcW w:w="6" w:type="dxa"/>
                                          <w:hideMark/>
                                        </w:tcPr>
                                        <w:p w14:paraId="2F5453C3" w14:textId="77777777" w:rsidR="008148CB" w:rsidRDefault="008148CB" w:rsidP="008148CB">
                                          <w:pPr>
                                            <w:rPr>
                                              <w:rFonts w:eastAsia="Times New Roman"/>
                                              <w:vanish/>
                                            </w:rPr>
                                          </w:pPr>
                                        </w:p>
                                      </w:tc>
                                      <w:tc>
                                        <w:tcPr>
                                          <w:tcW w:w="9066" w:type="dxa"/>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8980"/>
                                          </w:tblGrid>
                                          <w:tr w:rsidR="008148CB" w14:paraId="1E74D9A9" w14:textId="77777777">
                                            <w:tc>
                                              <w:tcPr>
                                                <w:tcW w:w="9066" w:type="dxa"/>
                                                <w:tcMar>
                                                  <w:top w:w="135" w:type="dxa"/>
                                                  <w:left w:w="270" w:type="dxa"/>
                                                  <w:bottom w:w="135" w:type="dxa"/>
                                                  <w:right w:w="270" w:type="dxa"/>
                                                </w:tcMar>
                                                <w:vAlign w:val="center"/>
                                                <w:hideMark/>
                                              </w:tcPr>
                                              <w:tbl>
                                                <w:tblPr>
                                                  <w:tblW w:w="5000" w:type="pct"/>
                                                  <w:shd w:val="clear" w:color="auto" w:fill="E9FCE9"/>
                                                  <w:tblLayout w:type="fixed"/>
                                                  <w:tblLook w:val="04A0" w:firstRow="1" w:lastRow="0" w:firstColumn="1" w:lastColumn="0" w:noHBand="0" w:noVBand="1"/>
                                                </w:tblPr>
                                                <w:tblGrid>
                                                  <w:gridCol w:w="8440"/>
                                                </w:tblGrid>
                                                <w:tr w:rsidR="008148CB" w14:paraId="5AF848ED" w14:textId="77777777">
                                                  <w:tc>
                                                    <w:tcPr>
                                                      <w:tcW w:w="8526" w:type="dxa"/>
                                                      <w:shd w:val="clear" w:color="auto" w:fill="E9FCE9"/>
                                                      <w:tcMar>
                                                        <w:top w:w="270" w:type="dxa"/>
                                                        <w:left w:w="270" w:type="dxa"/>
                                                        <w:bottom w:w="270" w:type="dxa"/>
                                                        <w:right w:w="270" w:type="dxa"/>
                                                      </w:tcMar>
                                                      <w:hideMark/>
                                                    </w:tcPr>
                                                    <w:p w14:paraId="511E1989" w14:textId="77777777" w:rsidR="008148CB" w:rsidRDefault="008148CB" w:rsidP="008148CB">
                                                      <w:pPr>
                                                        <w:spacing w:before="150" w:after="150" w:line="360" w:lineRule="auto"/>
                                                        <w:jc w:val="both"/>
                                                        <w:rPr>
                                                          <w:rFonts w:ascii="Helvetica" w:hAnsi="Helvetica" w:cs="Helvetica"/>
                                                          <w:color w:val="222222"/>
                                                          <w:sz w:val="21"/>
                                                          <w:szCs w:val="21"/>
                                                        </w:rPr>
                                                      </w:pPr>
                                                      <w:r>
                                                        <w:rPr>
                                                          <w:rStyle w:val="Pogrubienie"/>
                                                          <w:rFonts w:ascii="Helvetica" w:hAnsi="Helvetica" w:cs="Helvetica"/>
                                                          <w:color w:val="008080"/>
                                                          <w:sz w:val="36"/>
                                                          <w:szCs w:val="36"/>
                                                        </w:rPr>
                                                        <w:t>WORKING GROUPS </w:t>
                                                      </w:r>
                                                    </w:p>
                                                    <w:p w14:paraId="0AC6715E" w14:textId="77777777" w:rsidR="008148CB" w:rsidRDefault="008148CB" w:rsidP="008148CB">
                                                      <w:pPr>
                                                        <w:spacing w:before="150" w:after="150" w:line="360" w:lineRule="auto"/>
                                                        <w:jc w:val="both"/>
                                                        <w:rPr>
                                                          <w:rFonts w:ascii="Helvetica" w:hAnsi="Helvetica" w:cs="Helvetica"/>
                                                          <w:color w:val="222222"/>
                                                          <w:sz w:val="21"/>
                                                          <w:szCs w:val="21"/>
                                                        </w:rPr>
                                                      </w:pPr>
                                                      <w:r>
                                                        <w:rPr>
                                                          <w:rStyle w:val="Pogrubienie"/>
                                                          <w:rFonts w:ascii="Arial" w:hAnsi="Arial" w:cs="Arial"/>
                                                          <w:color w:val="008080"/>
                                                          <w:sz w:val="21"/>
                                                          <w:szCs w:val="21"/>
                                                        </w:rPr>
                                                        <w:t>EEE WG:</w:t>
                                                      </w:r>
                                                      <w:r>
                                                        <w:rPr>
                                                          <w:rFonts w:ascii="Arial" w:hAnsi="Arial" w:cs="Arial"/>
                                                          <w:color w:val="008080"/>
                                                          <w:sz w:val="21"/>
                                                          <w:szCs w:val="21"/>
                                                        </w:rPr>
                                                        <w:t>  </w:t>
                                                      </w:r>
                                                    </w:p>
                                                    <w:p w14:paraId="79F7D965" w14:textId="77777777" w:rsidR="008148CB" w:rsidRPr="008148CB" w:rsidRDefault="008148CB" w:rsidP="008148CB">
                                                      <w:pPr>
                                                        <w:numPr>
                                                          <w:ilvl w:val="0"/>
                                                          <w:numId w:val="21"/>
                                                        </w:numPr>
                                                        <w:spacing w:before="150" w:after="150" w:line="360" w:lineRule="auto"/>
                                                        <w:jc w:val="both"/>
                                                        <w:rPr>
                                                          <w:rFonts w:ascii="Helvetica" w:hAnsi="Helvetica" w:cs="Helvetica"/>
                                                          <w:color w:val="222222"/>
                                                          <w:sz w:val="21"/>
                                                          <w:szCs w:val="21"/>
                                                          <w:lang w:val="en-US"/>
                                                        </w:rPr>
                                                      </w:pPr>
                                                      <w:r w:rsidRPr="008148CB">
                                                        <w:rPr>
                                                          <w:rStyle w:val="Pogrubienie"/>
                                                          <w:rFonts w:ascii="Helvetica" w:hAnsi="Helvetica" w:cs="Helvetica"/>
                                                          <w:color w:val="222222"/>
                                                          <w:sz w:val="21"/>
                                                          <w:szCs w:val="21"/>
                                                          <w:lang w:val="en-US"/>
                                                        </w:rPr>
                                                        <w:t>Green Deal Taskforce</w:t>
                                                      </w:r>
                                                      <w:r w:rsidRPr="008148CB">
                                                        <w:rPr>
                                                          <w:rFonts w:ascii="Helvetica" w:hAnsi="Helvetica" w:cs="Helvetica"/>
                                                          <w:color w:val="222222"/>
                                                          <w:sz w:val="21"/>
                                                          <w:szCs w:val="21"/>
                                                          <w:lang w:val="en-US"/>
                                                        </w:rPr>
                                                        <w:t>: The EPEE Green Deal Taskforce will meet on 20 July to discuss the state of play of the Fit for 55 files, focusing on the EPBD, and EPEE’s actions after the summer break.  </w:t>
                                                      </w:r>
                                                    </w:p>
                                                    <w:p w14:paraId="345BE503" w14:textId="77777777" w:rsidR="008148CB" w:rsidRPr="008148CB" w:rsidRDefault="008148CB" w:rsidP="008148CB">
                                                      <w:pPr>
                                                        <w:numPr>
                                                          <w:ilvl w:val="0"/>
                                                          <w:numId w:val="21"/>
                                                        </w:numPr>
                                                        <w:spacing w:before="150" w:after="150" w:line="360" w:lineRule="auto"/>
                                                        <w:jc w:val="both"/>
                                                        <w:rPr>
                                                          <w:rFonts w:ascii="Helvetica" w:hAnsi="Helvetica" w:cs="Helvetica"/>
                                                          <w:color w:val="222222"/>
                                                          <w:sz w:val="21"/>
                                                          <w:szCs w:val="21"/>
                                                          <w:lang w:val="en-US"/>
                                                        </w:rPr>
                                                      </w:pPr>
                                                      <w:r w:rsidRPr="008148CB">
                                                        <w:rPr>
                                                          <w:rStyle w:val="Pogrubienie"/>
                                                          <w:rFonts w:ascii="Helvetica" w:hAnsi="Helvetica" w:cs="Helvetica"/>
                                                          <w:color w:val="222222"/>
                                                          <w:sz w:val="21"/>
                                                          <w:szCs w:val="21"/>
                                                          <w:lang w:val="en-US"/>
                                                        </w:rPr>
                                                        <w:t>EPBD revision, European Parliament</w:t>
                                                      </w:r>
                                                      <w:r w:rsidRPr="008148CB">
                                                        <w:rPr>
                                                          <w:rFonts w:ascii="Helvetica" w:hAnsi="Helvetica" w:cs="Helvetica"/>
                                                          <w:color w:val="222222"/>
                                                          <w:sz w:val="21"/>
                                                          <w:szCs w:val="21"/>
                                                          <w:lang w:val="en-US"/>
                                                        </w:rPr>
                                                        <w:t>: After the amendment deadline in the ITRE Committee on 08 July, the majority of amendments tabled by ITRE MEPs are now available since 15 July. The Secretariat is currently analyzing the amendments and will take stock with the Green Deal Taskforce on how EPEE’s priorities are reflected. The vote in the ITRE Committee on the EPBD remains scheduled for 25/26 October.  </w:t>
                                                      </w:r>
                                                    </w:p>
                                                    <w:p w14:paraId="446D7E87" w14:textId="77777777" w:rsidR="008148CB" w:rsidRPr="008148CB" w:rsidRDefault="008148CB" w:rsidP="008148CB">
                                                      <w:pPr>
                                                        <w:numPr>
                                                          <w:ilvl w:val="0"/>
                                                          <w:numId w:val="21"/>
                                                        </w:numPr>
                                                        <w:spacing w:before="150" w:after="150" w:line="360" w:lineRule="auto"/>
                                                        <w:jc w:val="both"/>
                                                        <w:rPr>
                                                          <w:rFonts w:ascii="Helvetica" w:hAnsi="Helvetica" w:cs="Helvetica"/>
                                                          <w:color w:val="222222"/>
                                                          <w:sz w:val="21"/>
                                                          <w:szCs w:val="21"/>
                                                          <w:lang w:val="en-US"/>
                                                        </w:rPr>
                                                      </w:pPr>
                                                      <w:r w:rsidRPr="008148CB">
                                                        <w:rPr>
                                                          <w:rStyle w:val="Pogrubienie"/>
                                                          <w:rFonts w:ascii="Helvetica" w:hAnsi="Helvetica" w:cs="Helvetica"/>
                                                          <w:color w:val="222222"/>
                                                          <w:sz w:val="21"/>
                                                          <w:szCs w:val="21"/>
                                                          <w:lang w:val="en-US"/>
                                                        </w:rPr>
                                                        <w:t>EU Green public procurement criteria for buildings</w:t>
                                                      </w:r>
                                                      <w:r w:rsidRPr="008148CB">
                                                        <w:rPr>
                                                          <w:rFonts w:ascii="Helvetica" w:hAnsi="Helvetica" w:cs="Helvetica"/>
                                                          <w:color w:val="222222"/>
                                                          <w:sz w:val="21"/>
                                                          <w:szCs w:val="21"/>
                                                          <w:lang w:val="en-US"/>
                                                        </w:rPr>
                                                        <w:t xml:space="preserve">: As members were informed at the EEE WG meeting in May 2022, EPEE is participating in a number of expert subgroups of the Commission’s Joint Research Centre (JRC) that work on developing the new EU GPP criteria for buildings. The start of work in most subgroups has been delayed and will only commence after the summer. A call took place for expert subgroup 1d (Life-cycle carbon assessment) on 15 July, where the JRC presented their goals for this subtheme. Interested members may find the slides of that meeting </w:t>
                                                      </w:r>
                                                      <w:hyperlink r:id="rId20" w:tgtFrame="_blank" w:history="1">
                                                        <w:r w:rsidRPr="008148CB">
                                                          <w:rPr>
                                                            <w:rStyle w:val="Hipercze"/>
                                                            <w:rFonts w:ascii="Helvetica" w:hAnsi="Helvetica" w:cs="Helvetica"/>
                                                            <w:color w:val="007C89"/>
                                                            <w:sz w:val="21"/>
                                                            <w:szCs w:val="21"/>
                                                            <w:lang w:val="en-US"/>
                                                          </w:rPr>
                                                          <w:t>here</w:t>
                                                        </w:r>
                                                      </w:hyperlink>
                                                      <w:r w:rsidRPr="008148CB">
                                                        <w:rPr>
                                                          <w:rFonts w:ascii="Helvetica" w:hAnsi="Helvetica" w:cs="Helvetica"/>
                                                          <w:color w:val="222222"/>
                                                          <w:sz w:val="21"/>
                                                          <w:szCs w:val="21"/>
                                                          <w:lang w:val="en-US"/>
                                                        </w:rPr>
                                                        <w:t>.  </w:t>
                                                      </w:r>
                                                    </w:p>
                                                    <w:p w14:paraId="379BE419" w14:textId="77777777" w:rsidR="008148CB" w:rsidRDefault="008148CB" w:rsidP="008148CB">
                                                      <w:pPr>
                                                        <w:spacing w:line="360" w:lineRule="auto"/>
                                                        <w:rPr>
                                                          <w:rFonts w:ascii="Helvetica" w:eastAsia="Times New Roman" w:hAnsi="Helvetica" w:cs="Helvetica"/>
                                                          <w:color w:val="222222"/>
                                                          <w:sz w:val="21"/>
                                                          <w:szCs w:val="21"/>
                                                        </w:rPr>
                                                      </w:pPr>
                                                      <w:r>
                                                        <w:rPr>
                                                          <w:rStyle w:val="Pogrubienie"/>
                                                          <w:rFonts w:ascii="Helvetica" w:eastAsia="Times New Roman" w:hAnsi="Helvetica" w:cs="Helvetica"/>
                                                          <w:color w:val="008080"/>
                                                          <w:sz w:val="21"/>
                                                          <w:szCs w:val="21"/>
                                                        </w:rPr>
                                                        <w:t>F-Gas WG:  </w:t>
                                                      </w:r>
                                                    </w:p>
                                                    <w:p w14:paraId="728A71DD" w14:textId="77777777" w:rsidR="008148CB" w:rsidRDefault="008148CB" w:rsidP="008148CB">
                                                      <w:pPr>
                                                        <w:numPr>
                                                          <w:ilvl w:val="0"/>
                                                          <w:numId w:val="22"/>
                                                        </w:numPr>
                                                        <w:spacing w:before="150" w:after="150" w:line="360" w:lineRule="auto"/>
                                                        <w:jc w:val="both"/>
                                                        <w:rPr>
                                                          <w:rFonts w:ascii="Helvetica" w:hAnsi="Helvetica" w:cs="Helvetica"/>
                                                          <w:color w:val="222222"/>
                                                          <w:sz w:val="21"/>
                                                          <w:szCs w:val="21"/>
                                                        </w:rPr>
                                                      </w:pPr>
                                                      <w:r w:rsidRPr="008148CB">
                                                        <w:rPr>
                                                          <w:rStyle w:val="Pogrubienie"/>
                                                          <w:rFonts w:ascii="Helvetica" w:hAnsi="Helvetica" w:cs="Helvetica"/>
                                                          <w:color w:val="222222"/>
                                                          <w:sz w:val="21"/>
                                                          <w:szCs w:val="21"/>
                                                          <w:lang w:val="en-US"/>
                                                        </w:rPr>
                                                        <w:t>EPEE’s OEWG side event “Accelerating the HFC phase down in Europe – the importance of good modelling” in Bangkok</w:t>
                                                      </w:r>
                                                      <w:r w:rsidRPr="008148CB">
                                                        <w:rPr>
                                                          <w:rFonts w:ascii="Helvetica" w:hAnsi="Helvetica" w:cs="Helvetica"/>
                                                          <w:color w:val="222222"/>
                                                          <w:sz w:val="21"/>
                                                          <w:szCs w:val="21"/>
                                                          <w:lang w:val="en-US"/>
                                                        </w:rPr>
                                                        <w:t xml:space="preserve"> - On 12 July, EPEE held </w:t>
                                                      </w:r>
                                                      <w:r w:rsidRPr="008148CB">
                                                        <w:rPr>
                                                          <w:rFonts w:ascii="Helvetica" w:hAnsi="Helvetica" w:cs="Helvetica"/>
                                                          <w:color w:val="222222"/>
                                                          <w:sz w:val="21"/>
                                                          <w:szCs w:val="21"/>
                                                          <w:lang w:val="en-US"/>
                                                        </w:rPr>
                                                        <w:lastRenderedPageBreak/>
                                                        <w:t xml:space="preserve">a side event to the Open Ended Working Group where UN countries discuss the implementation of the Kigali Amendment to the Montreal Protocol. The HFC Outlook modelling tool used by EPEE was presented to the participants, representing EU Member States, Third Countries and companies coming in number from all around the world. Speakers included James Curlin, Head of OzonAction, Law Division, UNEP and Ray Gluckman, Gluckman Consulting, alongside with Folker Franz and Federica Rizzo. After the side-event, Toshiba Carrier factory organised a visit. </w:t>
                                                      </w:r>
                                                      <w:r>
                                                        <w:rPr>
                                                          <w:rFonts w:ascii="Helvetica" w:hAnsi="Helvetica" w:cs="Helvetica"/>
                                                          <w:color w:val="222222"/>
                                                          <w:sz w:val="21"/>
                                                          <w:szCs w:val="21"/>
                                                        </w:rPr>
                                                        <w:t xml:space="preserve">The recording of the event can be found </w:t>
                                                      </w:r>
                                                      <w:hyperlink r:id="rId21" w:tgtFrame="_blank" w:history="1">
                                                        <w:r>
                                                          <w:rPr>
                                                            <w:rStyle w:val="Hipercze"/>
                                                            <w:rFonts w:ascii="Helvetica" w:hAnsi="Helvetica" w:cs="Helvetica"/>
                                                            <w:color w:val="007C89"/>
                                                            <w:sz w:val="21"/>
                                                            <w:szCs w:val="21"/>
                                                          </w:rPr>
                                                          <w:t>here</w:t>
                                                        </w:r>
                                                      </w:hyperlink>
                                                      <w:r>
                                                        <w:rPr>
                                                          <w:rFonts w:ascii="Helvetica" w:hAnsi="Helvetica" w:cs="Helvetica"/>
                                                          <w:color w:val="222222"/>
                                                          <w:sz w:val="21"/>
                                                          <w:szCs w:val="21"/>
                                                        </w:rPr>
                                                        <w:t>. </w:t>
                                                      </w:r>
                                                    </w:p>
                                                    <w:p w14:paraId="443F22DF" w14:textId="77777777" w:rsidR="008148CB" w:rsidRPr="008148CB" w:rsidRDefault="008148CB" w:rsidP="008148CB">
                                                      <w:pPr>
                                                        <w:numPr>
                                                          <w:ilvl w:val="0"/>
                                                          <w:numId w:val="22"/>
                                                        </w:numPr>
                                                        <w:spacing w:before="150" w:after="150" w:line="360" w:lineRule="auto"/>
                                                        <w:jc w:val="both"/>
                                                        <w:rPr>
                                                          <w:rFonts w:ascii="Helvetica" w:hAnsi="Helvetica" w:cs="Helvetica"/>
                                                          <w:color w:val="222222"/>
                                                          <w:sz w:val="21"/>
                                                          <w:szCs w:val="21"/>
                                                          <w:lang w:val="en-US"/>
                                                        </w:rPr>
                                                      </w:pPr>
                                                      <w:r w:rsidRPr="008148CB">
                                                        <w:rPr>
                                                          <w:rStyle w:val="Pogrubienie"/>
                                                          <w:rFonts w:ascii="Helvetica" w:hAnsi="Helvetica" w:cs="Helvetica"/>
                                                          <w:color w:val="222222"/>
                                                          <w:sz w:val="21"/>
                                                          <w:szCs w:val="21"/>
                                                          <w:lang w:val="en-US"/>
                                                        </w:rPr>
                                                        <w:t>Stakeholders mapping</w:t>
                                                      </w:r>
                                                      <w:r w:rsidRPr="008148CB">
                                                        <w:rPr>
                                                          <w:rFonts w:ascii="Helvetica" w:hAnsi="Helvetica" w:cs="Helvetica"/>
                                                          <w:color w:val="222222"/>
                                                          <w:sz w:val="21"/>
                                                          <w:szCs w:val="21"/>
                                                          <w:lang w:val="en-US"/>
                                                        </w:rPr>
                                                        <w:t xml:space="preserve">: The F-gas Regulation Revision proposal has been published on 5 May 2022. The possibility for feedback from stakeholders on the Have Your Say Portal of the European Commission’s website was open until 29 June. EPEE participated to this exercise and </w:t>
                                                      </w:r>
                                                      <w:hyperlink r:id="rId22" w:tgtFrame="_blank" w:history="1">
                                                        <w:r w:rsidRPr="008148CB">
                                                          <w:rPr>
                                                            <w:rStyle w:val="Hipercze"/>
                                                            <w:rFonts w:ascii="Helvetica" w:hAnsi="Helvetica" w:cs="Helvetica"/>
                                                            <w:color w:val="007C89"/>
                                                            <w:sz w:val="21"/>
                                                            <w:szCs w:val="21"/>
                                                            <w:lang w:val="en-US"/>
                                                          </w:rPr>
                                                          <w:t>published its position</w:t>
                                                        </w:r>
                                                      </w:hyperlink>
                                                      <w:r w:rsidRPr="008148CB">
                                                        <w:rPr>
                                                          <w:rFonts w:ascii="Helvetica" w:hAnsi="Helvetica" w:cs="Helvetica"/>
                                                          <w:color w:val="222222"/>
                                                          <w:sz w:val="21"/>
                                                          <w:szCs w:val="21"/>
                                                          <w:lang w:val="en-US"/>
                                                        </w:rPr>
                                                        <w:t xml:space="preserve"> on 22nd June. A total of 155 feedbacks have been published. EPEE has shared with the F-gas WG a mapping and analysis of the stakeholders replies. </w:t>
                                                      </w:r>
                                                    </w:p>
                                                    <w:p w14:paraId="45299AF4" w14:textId="77777777" w:rsidR="008148CB" w:rsidRPr="008148CB" w:rsidRDefault="008148CB" w:rsidP="008148CB">
                                                      <w:pPr>
                                                        <w:numPr>
                                                          <w:ilvl w:val="0"/>
                                                          <w:numId w:val="22"/>
                                                        </w:numPr>
                                                        <w:spacing w:before="150" w:after="150" w:line="360" w:lineRule="auto"/>
                                                        <w:jc w:val="both"/>
                                                        <w:rPr>
                                                          <w:rFonts w:ascii="Helvetica" w:hAnsi="Helvetica" w:cs="Helvetica"/>
                                                          <w:color w:val="222222"/>
                                                          <w:sz w:val="21"/>
                                                          <w:szCs w:val="21"/>
                                                          <w:lang w:val="en-US"/>
                                                        </w:rPr>
                                                      </w:pPr>
                                                      <w:r w:rsidRPr="008148CB">
                                                        <w:rPr>
                                                          <w:rStyle w:val="Pogrubienie"/>
                                                          <w:rFonts w:ascii="Helvetica" w:hAnsi="Helvetica" w:cs="Helvetica"/>
                                                          <w:color w:val="222222"/>
                                                          <w:sz w:val="21"/>
                                                          <w:szCs w:val="21"/>
                                                          <w:lang w:val="en-US"/>
                                                        </w:rPr>
                                                        <w:t>Council of the EU:</w:t>
                                                      </w:r>
                                                      <w:r w:rsidRPr="008148CB">
                                                        <w:rPr>
                                                          <w:rFonts w:ascii="Helvetica" w:hAnsi="Helvetica" w:cs="Helvetica"/>
                                                          <w:color w:val="222222"/>
                                                          <w:sz w:val="21"/>
                                                          <w:szCs w:val="21"/>
                                                          <w:lang w:val="en-US"/>
                                                        </w:rPr>
                                                        <w:t xml:space="preserve"> On 28 June, the French presidency hosted its last Environment Council meeting in which one of the points of the agenda in the Any other business section was dedicated to the Regulation on fluorinated greenhouse gases. The European Commission presented its revision proposal to the Environment ministers, which led to no further comment. The F-gas regulation revision was then discussed at Working Party level again on 6th of July, under the Czech Presidency. </w:t>
                                                      </w:r>
                                                    </w:p>
                                                    <w:p w14:paraId="682A6997" w14:textId="77777777" w:rsidR="008148CB" w:rsidRPr="008148CB" w:rsidRDefault="008148CB" w:rsidP="008148CB">
                                                      <w:pPr>
                                                        <w:numPr>
                                                          <w:ilvl w:val="0"/>
                                                          <w:numId w:val="22"/>
                                                        </w:numPr>
                                                        <w:spacing w:before="150" w:after="150" w:line="360" w:lineRule="auto"/>
                                                        <w:jc w:val="both"/>
                                                        <w:rPr>
                                                          <w:rFonts w:ascii="Helvetica" w:hAnsi="Helvetica" w:cs="Helvetica"/>
                                                          <w:color w:val="222222"/>
                                                          <w:sz w:val="21"/>
                                                          <w:szCs w:val="21"/>
                                                          <w:lang w:val="en-US"/>
                                                        </w:rPr>
                                                      </w:pPr>
                                                      <w:r w:rsidRPr="008148CB">
                                                        <w:rPr>
                                                          <w:rStyle w:val="Pogrubienie"/>
                                                          <w:rFonts w:ascii="Helvetica" w:hAnsi="Helvetica" w:cs="Helvetica"/>
                                                          <w:color w:val="222222"/>
                                                          <w:sz w:val="21"/>
                                                          <w:szCs w:val="21"/>
                                                          <w:lang w:val="en-US"/>
                                                        </w:rPr>
                                                        <w:t>EPEE Amendment Proposals</w:t>
                                                      </w:r>
                                                      <w:r w:rsidRPr="008148CB">
                                                        <w:rPr>
                                                          <w:rFonts w:ascii="Helvetica" w:hAnsi="Helvetica" w:cs="Helvetica"/>
                                                          <w:color w:val="222222"/>
                                                          <w:sz w:val="21"/>
                                                          <w:szCs w:val="21"/>
                                                          <w:lang w:val="en-US"/>
                                                        </w:rPr>
                                                        <w:t>: The EPEE Secretariat with members of the Impulse Team meeting started working on a draft document proposing EPEE amendments to the F-gas Regulation Revision Proposal. </w:t>
                                                      </w:r>
                                                    </w:p>
                                                    <w:p w14:paraId="3E21B5B9" w14:textId="77777777" w:rsidR="008148CB" w:rsidRDefault="008148CB" w:rsidP="008148CB">
                                                      <w:pPr>
                                                        <w:numPr>
                                                          <w:ilvl w:val="0"/>
                                                          <w:numId w:val="22"/>
                                                        </w:numPr>
                                                        <w:spacing w:before="150" w:after="150" w:line="360" w:lineRule="auto"/>
                                                        <w:jc w:val="both"/>
                                                        <w:rPr>
                                                          <w:rFonts w:ascii="Helvetica" w:hAnsi="Helvetica" w:cs="Helvetica"/>
                                                          <w:color w:val="222222"/>
                                                          <w:sz w:val="21"/>
                                                          <w:szCs w:val="21"/>
                                                        </w:rPr>
                                                      </w:pPr>
                                                      <w:r w:rsidRPr="008148CB">
                                                        <w:rPr>
                                                          <w:rFonts w:ascii="Helvetica" w:hAnsi="Helvetica" w:cs="Helvetica"/>
                                                          <w:color w:val="222222"/>
                                                          <w:sz w:val="21"/>
                                                          <w:szCs w:val="21"/>
                                                          <w:lang w:val="en-US"/>
                                                        </w:rPr>
                                                        <w:t xml:space="preserve">The </w:t>
                                                      </w:r>
                                                      <w:r w:rsidRPr="008148CB">
                                                        <w:rPr>
                                                          <w:rStyle w:val="Pogrubienie"/>
                                                          <w:rFonts w:ascii="Helvetica" w:hAnsi="Helvetica" w:cs="Helvetica"/>
                                                          <w:color w:val="222222"/>
                                                          <w:sz w:val="21"/>
                                                          <w:szCs w:val="21"/>
                                                          <w:lang w:val="en-US"/>
                                                        </w:rPr>
                                                        <w:t>survey for EPEE OEM members on proposed F-Gas bans</w:t>
                                                      </w:r>
                                                      <w:r w:rsidRPr="008148CB">
                                                        <w:rPr>
                                                          <w:rFonts w:ascii="Helvetica" w:hAnsi="Helvetica" w:cs="Helvetica"/>
                                                          <w:color w:val="222222"/>
                                                          <w:sz w:val="21"/>
                                                          <w:szCs w:val="21"/>
                                                          <w:lang w:val="en-US"/>
                                                        </w:rPr>
                                                        <w:t xml:space="preserve"> is now closed, after receiving a good amount of answers. A first summary of the results will be presented to the respondents this week before the F-gas WG will be informed about them. </w:t>
                                                      </w:r>
                                                      <w:r>
                                                        <w:rPr>
                                                          <w:rFonts w:ascii="Helvetica" w:hAnsi="Helvetica" w:cs="Helvetica"/>
                                                          <w:color w:val="222222"/>
                                                          <w:sz w:val="21"/>
                                                          <w:szCs w:val="21"/>
                                                        </w:rPr>
                                                        <w:t>Thank you to all the participating companies. </w:t>
                                                      </w:r>
                                                    </w:p>
                                                    <w:p w14:paraId="2E455B51" w14:textId="77777777" w:rsidR="008148CB" w:rsidRPr="008148CB" w:rsidRDefault="008148CB" w:rsidP="008148CB">
                                                      <w:pPr>
                                                        <w:numPr>
                                                          <w:ilvl w:val="0"/>
                                                          <w:numId w:val="22"/>
                                                        </w:numPr>
                                                        <w:spacing w:before="150" w:after="150" w:line="360" w:lineRule="auto"/>
                                                        <w:jc w:val="both"/>
                                                        <w:rPr>
                                                          <w:rFonts w:ascii="Helvetica" w:hAnsi="Helvetica" w:cs="Helvetica"/>
                                                          <w:color w:val="222222"/>
                                                          <w:sz w:val="21"/>
                                                          <w:szCs w:val="21"/>
                                                          <w:lang w:val="en-US"/>
                                                        </w:rPr>
                                                      </w:pPr>
                                                      <w:r w:rsidRPr="008148CB">
                                                        <w:rPr>
                                                          <w:rStyle w:val="Pogrubienie"/>
                                                          <w:rFonts w:ascii="Helvetica" w:hAnsi="Helvetica" w:cs="Helvetica"/>
                                                          <w:color w:val="222222"/>
                                                          <w:sz w:val="21"/>
                                                          <w:szCs w:val="21"/>
                                                          <w:lang w:val="en-US"/>
                                                        </w:rPr>
                                                        <w:t>PFAS REACH restriction</w:t>
                                                      </w:r>
                                                      <w:r w:rsidRPr="008148CB">
                                                        <w:rPr>
                                                          <w:rFonts w:ascii="Helvetica" w:hAnsi="Helvetica" w:cs="Helvetica"/>
                                                          <w:color w:val="222222"/>
                                                          <w:sz w:val="21"/>
                                                          <w:szCs w:val="21"/>
                                                          <w:lang w:val="en-US"/>
                                                        </w:rPr>
                                                        <w:t>: A PFAS Task Force meeting has been held on Thursday 7 July to discuss on the latest gathered intelligence on the PFAS dossier. Furthermore, members discussed the opportunity to develop an EPEE’s PFAS checklist to assess the existing PFASs in the supply chain and to identify PFAS priorities. The objective is to get prepared for the derogations requests in the coming months. </w:t>
                                                      </w:r>
                                                    </w:p>
                                                    <w:p w14:paraId="35CCF57D" w14:textId="77777777" w:rsidR="008148CB" w:rsidRPr="008148CB" w:rsidRDefault="008148CB" w:rsidP="008148CB">
                                                      <w:pPr>
                                                        <w:numPr>
                                                          <w:ilvl w:val="0"/>
                                                          <w:numId w:val="22"/>
                                                        </w:numPr>
                                                        <w:spacing w:before="150" w:after="150" w:line="360" w:lineRule="auto"/>
                                                        <w:jc w:val="both"/>
                                                        <w:rPr>
                                                          <w:rFonts w:ascii="Helvetica" w:hAnsi="Helvetica" w:cs="Helvetica"/>
                                                          <w:color w:val="222222"/>
                                                          <w:sz w:val="21"/>
                                                          <w:szCs w:val="21"/>
                                                          <w:lang w:val="en-US"/>
                                                        </w:rPr>
                                                      </w:pPr>
                                                      <w:r w:rsidRPr="008148CB">
                                                        <w:rPr>
                                                          <w:rFonts w:ascii="Helvetica" w:hAnsi="Helvetica" w:cs="Helvetica"/>
                                                          <w:color w:val="222222"/>
                                                          <w:sz w:val="21"/>
                                                          <w:szCs w:val="21"/>
                                                          <w:lang w:val="en-US"/>
                                                        </w:rPr>
                                                        <w:lastRenderedPageBreak/>
                                                        <w:t>Additional discussions were held in relation to the upcoming</w:t>
                                                      </w:r>
                                                      <w:r w:rsidRPr="008148CB">
                                                        <w:rPr>
                                                          <w:rStyle w:val="Pogrubienie"/>
                                                          <w:rFonts w:ascii="Helvetica" w:hAnsi="Helvetica" w:cs="Helvetica"/>
                                                          <w:color w:val="222222"/>
                                                          <w:sz w:val="21"/>
                                                          <w:szCs w:val="21"/>
                                                          <w:lang w:val="en-US"/>
                                                        </w:rPr>
                                                        <w:t xml:space="preserve"> RAC committee</w:t>
                                                      </w:r>
                                                      <w:r w:rsidRPr="008148CB">
                                                        <w:rPr>
                                                          <w:rFonts w:ascii="Helvetica" w:hAnsi="Helvetica" w:cs="Helvetica"/>
                                                          <w:color w:val="222222"/>
                                                          <w:sz w:val="21"/>
                                                          <w:szCs w:val="21"/>
                                                          <w:lang w:val="en-US"/>
                                                        </w:rPr>
                                                        <w:t xml:space="preserve"> which will be held on 13 September on the Firefighting Foams Restriction Dossier. EPEE is invited to this meeting as stakeholder. It is a good opportunity for EPEE in order to be prepared for the universal PFAS REACH Restriction. </w:t>
                                                      </w:r>
                                                    </w:p>
                                                    <w:p w14:paraId="12F285B1" w14:textId="77777777" w:rsidR="008148CB" w:rsidRDefault="008148CB" w:rsidP="008148CB">
                                                      <w:pPr>
                                                        <w:spacing w:line="360" w:lineRule="auto"/>
                                                        <w:rPr>
                                                          <w:rFonts w:ascii="Helvetica" w:eastAsia="Times New Roman" w:hAnsi="Helvetica" w:cs="Helvetica"/>
                                                          <w:color w:val="222222"/>
                                                          <w:sz w:val="21"/>
                                                          <w:szCs w:val="21"/>
                                                        </w:rPr>
                                                      </w:pPr>
                                                      <w:r>
                                                        <w:rPr>
                                                          <w:rStyle w:val="Pogrubienie"/>
                                                          <w:rFonts w:ascii="Helvetica" w:eastAsia="Times New Roman" w:hAnsi="Helvetica" w:cs="Helvetica"/>
                                                          <w:color w:val="008080"/>
                                                          <w:sz w:val="21"/>
                                                          <w:szCs w:val="21"/>
                                                        </w:rPr>
                                                        <w:t>Ecodesign WG:</w:t>
                                                      </w:r>
                                                      <w:r>
                                                        <w:rPr>
                                                          <w:rFonts w:ascii="Helvetica" w:eastAsia="Times New Roman" w:hAnsi="Helvetica" w:cs="Helvetica"/>
                                                          <w:color w:val="008080"/>
                                                          <w:sz w:val="21"/>
                                                          <w:szCs w:val="21"/>
                                                        </w:rPr>
                                                        <w:t> </w:t>
                                                      </w:r>
                                                      <w:r>
                                                        <w:rPr>
                                                          <w:rFonts w:ascii="Helvetica" w:eastAsia="Times New Roman" w:hAnsi="Helvetica" w:cs="Helvetica"/>
                                                          <w:color w:val="008080"/>
                                                          <w:sz w:val="23"/>
                                                          <w:szCs w:val="23"/>
                                                        </w:rPr>
                                                        <w:t> </w:t>
                                                      </w:r>
                                                    </w:p>
                                                    <w:p w14:paraId="7CFFA380" w14:textId="77777777" w:rsidR="008148CB" w:rsidRDefault="008148CB" w:rsidP="008148CB">
                                                      <w:pPr>
                                                        <w:numPr>
                                                          <w:ilvl w:val="0"/>
                                                          <w:numId w:val="23"/>
                                                        </w:numPr>
                                                        <w:spacing w:before="150" w:after="150" w:line="360" w:lineRule="auto"/>
                                                        <w:jc w:val="both"/>
                                                        <w:rPr>
                                                          <w:rFonts w:ascii="Helvetica" w:hAnsi="Helvetica" w:cs="Helvetica"/>
                                                          <w:color w:val="222222"/>
                                                          <w:sz w:val="21"/>
                                                          <w:szCs w:val="21"/>
                                                        </w:rPr>
                                                      </w:pPr>
                                                      <w:r w:rsidRPr="008148CB">
                                                        <w:rPr>
                                                          <w:rStyle w:val="Pogrubienie"/>
                                                          <w:rFonts w:ascii="Helvetica" w:hAnsi="Helvetica" w:cs="Helvetica"/>
                                                          <w:color w:val="222222"/>
                                                          <w:sz w:val="21"/>
                                                          <w:szCs w:val="21"/>
                                                          <w:lang w:val="en-US"/>
                                                        </w:rPr>
                                                        <w:t>Ecodesign for Sustainable Products Regulation (ESPR):</w:t>
                                                      </w:r>
                                                      <w:r w:rsidRPr="008148CB">
                                                        <w:rPr>
                                                          <w:rFonts w:ascii="Helvetica" w:hAnsi="Helvetica" w:cs="Helvetica"/>
                                                          <w:color w:val="222222"/>
                                                          <w:sz w:val="21"/>
                                                          <w:szCs w:val="21"/>
                                                          <w:lang w:val="en-US"/>
                                                        </w:rPr>
                                                        <w:t xml:space="preserve"> the Sustainable Products Initiative (SPI) resulted in a Commission proposal for an ESPR. This file was published on 30 March, presented by the Commission at a Consultation Forum on 31 March, and EPEE provided its feedback to the proposal on 22 June 2022. </w:t>
                                                      </w:r>
                                                      <w:r>
                                                        <w:rPr>
                                                          <w:rFonts w:ascii="Helvetica" w:hAnsi="Helvetica" w:cs="Helvetica"/>
                                                          <w:color w:val="222222"/>
                                                          <w:sz w:val="21"/>
                                                          <w:szCs w:val="21"/>
                                                        </w:rPr>
                                                        <w:t xml:space="preserve">Our </w:t>
                                                      </w:r>
                                                      <w:hyperlink r:id="rId23" w:tgtFrame="_blank" w:history="1">
                                                        <w:r>
                                                          <w:rPr>
                                                            <w:rStyle w:val="Hipercze"/>
                                                            <w:rFonts w:ascii="Helvetica" w:hAnsi="Helvetica" w:cs="Helvetica"/>
                                                            <w:color w:val="007C89"/>
                                                            <w:sz w:val="21"/>
                                                            <w:szCs w:val="21"/>
                                                          </w:rPr>
                                                          <w:t>position on the ESPR</w:t>
                                                        </w:r>
                                                      </w:hyperlink>
                                                      <w:r>
                                                        <w:rPr>
                                                          <w:rFonts w:ascii="Helvetica" w:hAnsi="Helvetica" w:cs="Helvetica"/>
                                                          <w:color w:val="222222"/>
                                                          <w:sz w:val="21"/>
                                                          <w:szCs w:val="21"/>
                                                        </w:rPr>
                                                        <w:t xml:space="preserve"> is available online.   </w:t>
                                                      </w:r>
                                                    </w:p>
                                                    <w:p w14:paraId="76305B49" w14:textId="77777777" w:rsidR="008148CB" w:rsidRPr="008148CB" w:rsidRDefault="008148CB" w:rsidP="008148CB">
                                                      <w:pPr>
                                                        <w:numPr>
                                                          <w:ilvl w:val="0"/>
                                                          <w:numId w:val="23"/>
                                                        </w:numPr>
                                                        <w:spacing w:before="150" w:after="150" w:line="360" w:lineRule="auto"/>
                                                        <w:jc w:val="both"/>
                                                        <w:rPr>
                                                          <w:rFonts w:ascii="Helvetica" w:hAnsi="Helvetica" w:cs="Helvetica"/>
                                                          <w:color w:val="222222"/>
                                                          <w:sz w:val="21"/>
                                                          <w:szCs w:val="21"/>
                                                          <w:lang w:val="en-US"/>
                                                        </w:rPr>
                                                      </w:pPr>
                                                      <w:r w:rsidRPr="008148CB">
                                                        <w:rPr>
                                                          <w:rStyle w:val="Pogrubienie"/>
                                                          <w:rFonts w:ascii="Helvetica" w:hAnsi="Helvetica" w:cs="Helvetica"/>
                                                          <w:color w:val="222222"/>
                                                          <w:sz w:val="21"/>
                                                          <w:szCs w:val="21"/>
                                                          <w:lang w:val="en-US"/>
                                                        </w:rPr>
                                                        <w:t>Revision of MEErP:</w:t>
                                                      </w:r>
                                                      <w:r w:rsidRPr="008148CB">
                                                        <w:rPr>
                                                          <w:rFonts w:ascii="Helvetica" w:hAnsi="Helvetica" w:cs="Helvetica"/>
                                                          <w:color w:val="222222"/>
                                                          <w:sz w:val="21"/>
                                                          <w:szCs w:val="21"/>
                                                          <w:lang w:val="en-US"/>
                                                        </w:rPr>
                                                        <w:t xml:space="preserve"> the Commission published the consultant's proposals for a MEErP revision, which were discussed at a stakeholder meeting on 23 June 2022. The WG Ecodesign is now preparing a position paper with feedback to the consultants’ proposal.  </w:t>
                                                      </w:r>
                                                    </w:p>
                                                    <w:p w14:paraId="382AEE0A" w14:textId="77777777" w:rsidR="008148CB" w:rsidRPr="008148CB" w:rsidRDefault="008148CB" w:rsidP="008148CB">
                                                      <w:pPr>
                                                        <w:numPr>
                                                          <w:ilvl w:val="0"/>
                                                          <w:numId w:val="23"/>
                                                        </w:numPr>
                                                        <w:spacing w:before="150" w:after="150" w:line="360" w:lineRule="auto"/>
                                                        <w:jc w:val="both"/>
                                                        <w:rPr>
                                                          <w:rFonts w:ascii="Helvetica" w:hAnsi="Helvetica" w:cs="Helvetica"/>
                                                          <w:color w:val="222222"/>
                                                          <w:sz w:val="21"/>
                                                          <w:szCs w:val="21"/>
                                                          <w:lang w:val="en-US"/>
                                                        </w:rPr>
                                                      </w:pPr>
                                                      <w:r w:rsidRPr="008148CB">
                                                        <w:rPr>
                                                          <w:rStyle w:val="Pogrubienie"/>
                                                          <w:rFonts w:ascii="Helvetica" w:hAnsi="Helvetica" w:cs="Helvetica"/>
                                                          <w:color w:val="222222"/>
                                                          <w:sz w:val="21"/>
                                                          <w:szCs w:val="21"/>
                                                          <w:lang w:val="en-US"/>
                                                        </w:rPr>
                                                        <w:t>ENER Lot 1 (space heaters)</w:t>
                                                      </w:r>
                                                      <w:r w:rsidRPr="008148CB">
                                                        <w:rPr>
                                                          <w:rFonts w:ascii="Helvetica" w:hAnsi="Helvetica" w:cs="Helvetica"/>
                                                          <w:color w:val="222222"/>
                                                          <w:sz w:val="21"/>
                                                          <w:szCs w:val="21"/>
                                                          <w:lang w:val="en-US"/>
                                                        </w:rPr>
                                                        <w:t>: EPEE is compiling feedback concerning the VHK data monitoring proposals. This will result in our feedback that can be shared with the VHK consultants and the Commission.  </w:t>
                                                      </w:r>
                                                    </w:p>
                                                    <w:p w14:paraId="61FACC79" w14:textId="77777777" w:rsidR="008148CB" w:rsidRPr="008148CB" w:rsidRDefault="008148CB" w:rsidP="008148CB">
                                                      <w:pPr>
                                                        <w:numPr>
                                                          <w:ilvl w:val="0"/>
                                                          <w:numId w:val="23"/>
                                                        </w:numPr>
                                                        <w:spacing w:before="150" w:after="150" w:line="360" w:lineRule="auto"/>
                                                        <w:jc w:val="both"/>
                                                        <w:rPr>
                                                          <w:rFonts w:ascii="Helvetica" w:hAnsi="Helvetica" w:cs="Helvetica"/>
                                                          <w:color w:val="222222"/>
                                                          <w:sz w:val="21"/>
                                                          <w:szCs w:val="21"/>
                                                          <w:lang w:val="en-US"/>
                                                        </w:rPr>
                                                      </w:pPr>
                                                      <w:r w:rsidRPr="008148CB">
                                                        <w:rPr>
                                                          <w:rStyle w:val="Pogrubienie"/>
                                                          <w:rFonts w:ascii="Helvetica" w:hAnsi="Helvetica" w:cs="Helvetica"/>
                                                          <w:color w:val="222222"/>
                                                          <w:sz w:val="21"/>
                                                          <w:szCs w:val="21"/>
                                                          <w:lang w:val="en-US"/>
                                                        </w:rPr>
                                                        <w:t>ENER Lots 1 (space heaters) and 10 (air conditioners):</w:t>
                                                      </w:r>
                                                      <w:r w:rsidRPr="008148CB">
                                                        <w:rPr>
                                                          <w:rFonts w:ascii="Helvetica" w:hAnsi="Helvetica" w:cs="Helvetica"/>
                                                          <w:color w:val="222222"/>
                                                          <w:sz w:val="21"/>
                                                          <w:szCs w:val="21"/>
                                                          <w:lang w:val="en-US"/>
                                                        </w:rPr>
                                                        <w:t xml:space="preserve"> concerning the BAM proposals for dynamic compensation methods, DG ENER requested our views. The WG Ecodesign has shared its position with the BAM and the Commission, and will also discuss follow-ups. </w:t>
                                                      </w:r>
                                                    </w:p>
                                                    <w:p w14:paraId="6D832BCD" w14:textId="77777777" w:rsidR="008148CB" w:rsidRDefault="008148CB" w:rsidP="008148CB">
                                                      <w:pPr>
                                                        <w:numPr>
                                                          <w:ilvl w:val="0"/>
                                                          <w:numId w:val="23"/>
                                                        </w:numPr>
                                                        <w:spacing w:before="150" w:after="150" w:line="360" w:lineRule="auto"/>
                                                        <w:jc w:val="both"/>
                                                        <w:rPr>
                                                          <w:rFonts w:ascii="Helvetica" w:hAnsi="Helvetica" w:cs="Helvetica"/>
                                                          <w:color w:val="222222"/>
                                                          <w:sz w:val="21"/>
                                                          <w:szCs w:val="21"/>
                                                        </w:rPr>
                                                      </w:pPr>
                                                      <w:r w:rsidRPr="008148CB">
                                                        <w:rPr>
                                                          <w:rStyle w:val="Pogrubienie"/>
                                                          <w:rFonts w:ascii="Helvetica" w:hAnsi="Helvetica" w:cs="Helvetica"/>
                                                          <w:color w:val="222222"/>
                                                          <w:sz w:val="21"/>
                                                          <w:szCs w:val="21"/>
                                                          <w:lang w:val="en-US"/>
                                                        </w:rPr>
                                                        <w:t>ENER Lots 10 (air conditioners) and 20 (local space heater):</w:t>
                                                      </w:r>
                                                      <w:r w:rsidRPr="008148CB">
                                                        <w:rPr>
                                                          <w:rFonts w:ascii="Helvetica" w:hAnsi="Helvetica" w:cs="Helvetica"/>
                                                          <w:color w:val="222222"/>
                                                          <w:sz w:val="21"/>
                                                          <w:szCs w:val="21"/>
                                                          <w:lang w:val="en-US"/>
                                                        </w:rPr>
                                                        <w:t xml:space="preserve"> the Commission published its proposals for a merged energy label under ENER Lots 10 and 20, which was presented and discussed during a Consultation Forum on 24 June 2022. EPEE participated to this meeting. A </w:t>
                                                      </w:r>
                                                      <w:hyperlink r:id="rId24" w:tgtFrame="_blank" w:history="1">
                                                        <w:r w:rsidRPr="008148CB">
                                                          <w:rPr>
                                                            <w:rStyle w:val="Hipercze"/>
                                                            <w:rFonts w:ascii="Helvetica" w:hAnsi="Helvetica" w:cs="Helvetica"/>
                                                            <w:color w:val="007C89"/>
                                                            <w:sz w:val="21"/>
                                                            <w:szCs w:val="21"/>
                                                            <w:lang w:val="en-US"/>
                                                          </w:rPr>
                                                          <w:t>public consultation</w:t>
                                                        </w:r>
                                                      </w:hyperlink>
                                                      <w:r w:rsidRPr="008148CB">
                                                        <w:rPr>
                                                          <w:rFonts w:ascii="Helvetica" w:hAnsi="Helvetica" w:cs="Helvetica"/>
                                                          <w:color w:val="222222"/>
                                                          <w:sz w:val="21"/>
                                                          <w:szCs w:val="21"/>
                                                          <w:lang w:val="en-US"/>
                                                        </w:rPr>
                                                        <w:t xml:space="preserve"> is open till 15 August. The WG Ecodesign is drafting and reviewing a position following the Consultation Forum. </w:t>
                                                      </w:r>
                                                      <w:r>
                                                        <w:rPr>
                                                          <w:rFonts w:ascii="Helvetica" w:hAnsi="Helvetica" w:cs="Helvetica"/>
                                                          <w:color w:val="222222"/>
                                                          <w:sz w:val="21"/>
                                                          <w:szCs w:val="21"/>
                                                        </w:rPr>
                                                        <w:t>For this purpose, a call took place on 15 July.</w:t>
                                                      </w:r>
                                                    </w:p>
                                                    <w:p w14:paraId="5C343C40" w14:textId="77777777" w:rsidR="008148CB" w:rsidRDefault="008148CB" w:rsidP="008148CB">
                                                      <w:pPr>
                                                        <w:spacing w:line="36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pict w14:anchorId="0FA061CF">
                                                          <v:rect id="_x0000_i1037" style="width:470.3pt;height:1.2pt" o:hralign="center" o:hrstd="t" o:hr="t" fillcolor="#a0a0a0" stroked="f"/>
                                                        </w:pict>
                                                      </w:r>
                                                    </w:p>
                                                  </w:tc>
                                                </w:tr>
                                              </w:tbl>
                                              <w:p w14:paraId="02129899" w14:textId="77777777" w:rsidR="008148CB" w:rsidRDefault="008148CB" w:rsidP="008148CB">
                                                <w:pPr>
                                                  <w:spacing w:line="240" w:lineRule="auto"/>
                                                  <w:rPr>
                                                    <w:rFonts w:ascii="Times New Roman" w:eastAsia="Times New Roman" w:hAnsi="Times New Roman" w:cs="Times New Roman"/>
                                                    <w:sz w:val="20"/>
                                                    <w:szCs w:val="20"/>
                                                  </w:rPr>
                                                </w:pPr>
                                              </w:p>
                                            </w:tc>
                                          </w:tr>
                                        </w:tbl>
                                        <w:p w14:paraId="03CEE518" w14:textId="77777777" w:rsidR="008148CB" w:rsidRDefault="008148CB" w:rsidP="008148CB">
                                          <w:pPr>
                                            <w:rPr>
                                              <w:rFonts w:ascii="Times New Roman" w:eastAsia="Times New Roman" w:hAnsi="Times New Roman" w:cs="Times New Roman"/>
                                              <w:sz w:val="20"/>
                                              <w:szCs w:val="20"/>
                                            </w:rPr>
                                          </w:pPr>
                                        </w:p>
                                      </w:tc>
                                    </w:tr>
                                  </w:tbl>
                                  <w:p w14:paraId="713B2ACF" w14:textId="77777777" w:rsidR="008148CB" w:rsidRDefault="008148CB" w:rsidP="008148CB">
                                    <w:pPr>
                                      <w:jc w:val="center"/>
                                      <w:rPr>
                                        <w:rFonts w:ascii="Times New Roman" w:eastAsia="Times New Roman" w:hAnsi="Times New Roman" w:cs="Times New Roman"/>
                                        <w:sz w:val="20"/>
                                        <w:szCs w:val="20"/>
                                      </w:rPr>
                                    </w:pPr>
                                  </w:p>
                                </w:tc>
                              </w:tr>
                            </w:tbl>
                            <w:p w14:paraId="6DD8318A" w14:textId="77777777" w:rsidR="008148CB" w:rsidRDefault="008148CB" w:rsidP="008148CB">
                              <w:pPr>
                                <w:rPr>
                                  <w:rFonts w:eastAsia="Times New Roman"/>
                                  <w:vanish/>
                                </w:rPr>
                              </w:pPr>
                            </w:p>
                            <w:tbl>
                              <w:tblPr>
                                <w:tblW w:w="5000" w:type="pct"/>
                                <w:tblLayout w:type="fixed"/>
                                <w:tblCellMar>
                                  <w:left w:w="0" w:type="dxa"/>
                                  <w:right w:w="0" w:type="dxa"/>
                                </w:tblCellMar>
                                <w:tblLook w:val="04A0" w:firstRow="1" w:lastRow="0" w:firstColumn="1" w:lastColumn="0" w:noHBand="0" w:noVBand="1"/>
                              </w:tblPr>
                              <w:tblGrid>
                                <w:gridCol w:w="9000"/>
                              </w:tblGrid>
                              <w:tr w:rsidR="008148CB" w14:paraId="7AA30AB3" w14:textId="77777777">
                                <w:tc>
                                  <w:tcPr>
                                    <w:tcW w:w="9072" w:type="dxa"/>
                                    <w:tcMar>
                                      <w:top w:w="135" w:type="dxa"/>
                                      <w:left w:w="135" w:type="dxa"/>
                                      <w:bottom w:w="135" w:type="dxa"/>
                                      <w:right w:w="135" w:type="dxa"/>
                                    </w:tcMar>
                                    <w:hideMark/>
                                  </w:tcPr>
                                  <w:tbl>
                                    <w:tblPr>
                                      <w:tblW w:w="5000" w:type="pct"/>
                                      <w:tblLayout w:type="fixed"/>
                                      <w:tblCellMar>
                                        <w:left w:w="0" w:type="dxa"/>
                                        <w:right w:w="0" w:type="dxa"/>
                                      </w:tblCellMar>
                                      <w:tblLook w:val="04A0" w:firstRow="1" w:lastRow="0" w:firstColumn="1" w:lastColumn="0" w:noHBand="0" w:noVBand="1"/>
                                    </w:tblPr>
                                    <w:tblGrid>
                                      <w:gridCol w:w="8730"/>
                                    </w:tblGrid>
                                    <w:tr w:rsidR="008148CB" w14:paraId="7BF6A625" w14:textId="77777777">
                                      <w:tc>
                                        <w:tcPr>
                                          <w:tcW w:w="8802" w:type="dxa"/>
                                          <w:tcMar>
                                            <w:top w:w="0" w:type="dxa"/>
                                            <w:left w:w="135" w:type="dxa"/>
                                            <w:bottom w:w="0" w:type="dxa"/>
                                            <w:right w:w="135" w:type="dxa"/>
                                          </w:tcMar>
                                          <w:hideMark/>
                                        </w:tcPr>
                                        <w:tbl>
                                          <w:tblPr>
                                            <w:tblpPr w:leftFromText="45" w:rightFromText="45" w:vertAnchor="text"/>
                                            <w:tblW w:w="1980" w:type="dxa"/>
                                            <w:tblLayout w:type="fixed"/>
                                            <w:tblCellMar>
                                              <w:left w:w="0" w:type="dxa"/>
                                              <w:right w:w="0" w:type="dxa"/>
                                            </w:tblCellMar>
                                            <w:tblLook w:val="04A0" w:firstRow="1" w:lastRow="0" w:firstColumn="1" w:lastColumn="0" w:noHBand="0" w:noVBand="1"/>
                                          </w:tblPr>
                                          <w:tblGrid>
                                            <w:gridCol w:w="1980"/>
                                          </w:tblGrid>
                                          <w:tr w:rsidR="008148CB" w14:paraId="5EAE143A" w14:textId="77777777">
                                            <w:tc>
                                              <w:tcPr>
                                                <w:tcW w:w="1980" w:type="dxa"/>
                                                <w:hideMark/>
                                              </w:tcPr>
                                              <w:p w14:paraId="19F171F9" w14:textId="570A7A29" w:rsidR="008148CB" w:rsidRDefault="008148CB" w:rsidP="008148CB">
                                                <w:pPr>
                                                  <w:jc w:val="center"/>
                                                  <w:rPr>
                                                    <w:rFonts w:eastAsia="Times New Roman"/>
                                                  </w:rPr>
                                                </w:pPr>
                                                <w:r>
                                                  <w:rPr>
                                                    <w:rFonts w:eastAsia="Times New Roman"/>
                                                    <w:noProof/>
                                                  </w:rPr>
                                                  <w:lastRenderedPageBreak/>
                                                  <w:drawing>
                                                    <wp:inline distT="0" distB="0" distL="0" distR="0" wp14:anchorId="16D4FA19" wp14:editId="5C4826EF">
                                                      <wp:extent cx="1257300" cy="12573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Layout w:type="fixed"/>
                                            <w:tblCellMar>
                                              <w:left w:w="0" w:type="dxa"/>
                                              <w:right w:w="0" w:type="dxa"/>
                                            </w:tblCellMar>
                                            <w:tblLook w:val="04A0" w:firstRow="1" w:lastRow="0" w:firstColumn="1" w:lastColumn="0" w:noHBand="0" w:noVBand="1"/>
                                          </w:tblPr>
                                          <w:tblGrid>
                                            <w:gridCol w:w="5940"/>
                                          </w:tblGrid>
                                          <w:tr w:rsidR="008148CB" w14:paraId="66E91130" w14:textId="77777777">
                                            <w:tc>
                                              <w:tcPr>
                                                <w:tcW w:w="5940" w:type="dxa"/>
                                                <w:hideMark/>
                                              </w:tcPr>
                                              <w:p w14:paraId="574AECCE" w14:textId="77777777" w:rsidR="008148CB" w:rsidRDefault="008148CB" w:rsidP="008148CB">
                                                <w:pPr>
                                                  <w:spacing w:before="150" w:after="150" w:line="360" w:lineRule="auto"/>
                                                  <w:rPr>
                                                    <w:rFonts w:ascii="Helvetica" w:hAnsi="Helvetica" w:cs="Helvetica"/>
                                                    <w:color w:val="202020"/>
                                                    <w:sz w:val="24"/>
                                                    <w:szCs w:val="24"/>
                                                  </w:rPr>
                                                </w:pPr>
                                                <w:r>
                                                  <w:rPr>
                                                    <w:rStyle w:val="Pogrubienie"/>
                                                    <w:rFonts w:ascii="Helvetica" w:hAnsi="Helvetica" w:cs="Helvetica"/>
                                                    <w:color w:val="202020"/>
                                                    <w:sz w:val="24"/>
                                                    <w:szCs w:val="24"/>
                                                  </w:rPr>
                                                  <w:t>Calendar</w:t>
                                                </w:r>
                                                <w:r>
                                                  <w:rPr>
                                                    <w:rFonts w:ascii="Helvetica" w:hAnsi="Helvetica" w:cs="Helvetica"/>
                                                    <w:color w:val="202020"/>
                                                    <w:sz w:val="24"/>
                                                    <w:szCs w:val="24"/>
                                                  </w:rPr>
                                                  <w:t> </w:t>
                                                </w:r>
                                              </w:p>
                                              <w:p w14:paraId="706B7EB6" w14:textId="77777777" w:rsidR="008148CB" w:rsidRDefault="008148CB" w:rsidP="008148CB">
                                                <w:pPr>
                                                  <w:numPr>
                                                    <w:ilvl w:val="0"/>
                                                    <w:numId w:val="24"/>
                                                  </w:numPr>
                                                  <w:spacing w:before="150" w:after="150" w:line="360" w:lineRule="auto"/>
                                                  <w:rPr>
                                                    <w:rFonts w:ascii="Helvetica" w:hAnsi="Helvetica" w:cs="Helvetica"/>
                                                    <w:color w:val="202020"/>
                                                    <w:sz w:val="24"/>
                                                    <w:szCs w:val="24"/>
                                                  </w:rPr>
                                                </w:pPr>
                                                <w:hyperlink r:id="rId26" w:tgtFrame="_blank" w:history="1">
                                                  <w:r>
                                                    <w:rPr>
                                                      <w:rStyle w:val="Hipercze"/>
                                                      <w:rFonts w:ascii="Helvetica" w:hAnsi="Helvetica" w:cs="Helvetica"/>
                                                      <w:color w:val="007C89"/>
                                                      <w:sz w:val="24"/>
                                                      <w:szCs w:val="24"/>
                                                    </w:rPr>
                                                    <w:t>Calendar of internal meetings 2022</w:t>
                                                  </w:r>
                                                </w:hyperlink>
                                                <w:r>
                                                  <w:rPr>
                                                    <w:rFonts w:ascii="Helvetica" w:hAnsi="Helvetica" w:cs="Helvetica"/>
                                                    <w:color w:val="202020"/>
                                                    <w:sz w:val="24"/>
                                                    <w:szCs w:val="24"/>
                                                  </w:rPr>
                                                  <w:t> </w:t>
                                                </w:r>
                                              </w:p>
                                            </w:tc>
                                          </w:tr>
                                        </w:tbl>
                                        <w:p w14:paraId="16454F0F" w14:textId="77777777" w:rsidR="008148CB" w:rsidRDefault="008148CB" w:rsidP="008148CB">
                                          <w:pPr>
                                            <w:rPr>
                                              <w:rFonts w:ascii="Times New Roman" w:eastAsia="Times New Roman" w:hAnsi="Times New Roman" w:cs="Times New Roman"/>
                                              <w:sz w:val="20"/>
                                              <w:szCs w:val="20"/>
                                            </w:rPr>
                                          </w:pPr>
                                        </w:p>
                                      </w:tc>
                                    </w:tr>
                                  </w:tbl>
                                  <w:p w14:paraId="4050E662" w14:textId="77777777" w:rsidR="008148CB" w:rsidRDefault="008148CB" w:rsidP="008148CB">
                                    <w:pPr>
                                      <w:rPr>
                                        <w:rFonts w:ascii="Times New Roman" w:eastAsia="Times New Roman" w:hAnsi="Times New Roman" w:cs="Times New Roman"/>
                                        <w:sz w:val="20"/>
                                        <w:szCs w:val="20"/>
                                      </w:rPr>
                                    </w:pPr>
                                  </w:p>
                                </w:tc>
                              </w:tr>
                            </w:tbl>
                            <w:p w14:paraId="5BDE71B5" w14:textId="77777777" w:rsidR="008148CB" w:rsidRDefault="008148CB" w:rsidP="008148CB">
                              <w:pPr>
                                <w:rPr>
                                  <w:rFonts w:eastAsia="Times New Roman"/>
                                  <w:vanish/>
                                </w:rPr>
                              </w:pPr>
                            </w:p>
                            <w:tbl>
                              <w:tblPr>
                                <w:tblW w:w="5000" w:type="pct"/>
                                <w:tblLayout w:type="fixed"/>
                                <w:tblCellMar>
                                  <w:left w:w="0" w:type="dxa"/>
                                  <w:right w:w="0" w:type="dxa"/>
                                </w:tblCellMar>
                                <w:tblLook w:val="04A0" w:firstRow="1" w:lastRow="0" w:firstColumn="1" w:lastColumn="0" w:noHBand="0" w:noVBand="1"/>
                              </w:tblPr>
                              <w:tblGrid>
                                <w:gridCol w:w="9000"/>
                              </w:tblGrid>
                              <w:tr w:rsidR="008148CB" w:rsidRPr="008148CB" w14:paraId="074B7974" w14:textId="77777777">
                                <w:trPr>
                                  <w:hidden/>
                                </w:trPr>
                                <w:tc>
                                  <w:tcPr>
                                    <w:tcW w:w="9072" w:type="dxa"/>
                                    <w:vAlign w:val="center"/>
                                    <w:hideMark/>
                                  </w:tcPr>
                                  <w:tbl>
                                    <w:tblPr>
                                      <w:tblW w:w="5000" w:type="pct"/>
                                      <w:jc w:val="center"/>
                                      <w:tblLayout w:type="fixed"/>
                                      <w:tblCellMar>
                                        <w:left w:w="0" w:type="dxa"/>
                                        <w:right w:w="0" w:type="dxa"/>
                                      </w:tblCellMar>
                                      <w:tblLook w:val="04A0" w:firstRow="1" w:lastRow="0" w:firstColumn="1" w:lastColumn="0" w:noHBand="0" w:noVBand="1"/>
                                    </w:tblPr>
                                    <w:tblGrid>
                                      <w:gridCol w:w="20"/>
                                      <w:gridCol w:w="8980"/>
                                    </w:tblGrid>
                                    <w:tr w:rsidR="008148CB" w:rsidRPr="008148CB" w14:paraId="51BA65F7" w14:textId="77777777">
                                      <w:trPr>
                                        <w:jc w:val="center"/>
                                        <w:hidden/>
                                      </w:trPr>
                                      <w:tc>
                                        <w:tcPr>
                                          <w:tcW w:w="6" w:type="dxa"/>
                                          <w:hideMark/>
                                        </w:tcPr>
                                        <w:p w14:paraId="7FBD102E" w14:textId="77777777" w:rsidR="008148CB" w:rsidRDefault="008148CB" w:rsidP="008148CB">
                                          <w:pPr>
                                            <w:rPr>
                                              <w:rFonts w:eastAsia="Times New Roman"/>
                                              <w:vanish/>
                                            </w:rPr>
                                          </w:pPr>
                                        </w:p>
                                      </w:tc>
                                      <w:tc>
                                        <w:tcPr>
                                          <w:tcW w:w="9066" w:type="dxa"/>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8980"/>
                                          </w:tblGrid>
                                          <w:tr w:rsidR="008148CB" w:rsidRPr="008148CB" w14:paraId="6344AAF5" w14:textId="77777777">
                                            <w:tc>
                                              <w:tcPr>
                                                <w:tcW w:w="9066" w:type="dxa"/>
                                                <w:tcMar>
                                                  <w:top w:w="135" w:type="dxa"/>
                                                  <w:left w:w="270" w:type="dxa"/>
                                                  <w:bottom w:w="135" w:type="dxa"/>
                                                  <w:right w:w="270" w:type="dxa"/>
                                                </w:tcMar>
                                                <w:vAlign w:val="center"/>
                                                <w:hideMark/>
                                              </w:tcPr>
                                              <w:tbl>
                                                <w:tblPr>
                                                  <w:tblW w:w="5000" w:type="pct"/>
                                                  <w:shd w:val="clear" w:color="auto" w:fill="F8F8F8"/>
                                                  <w:tblLayout w:type="fixed"/>
                                                  <w:tblLook w:val="04A0" w:firstRow="1" w:lastRow="0" w:firstColumn="1" w:lastColumn="0" w:noHBand="0" w:noVBand="1"/>
                                                </w:tblPr>
                                                <w:tblGrid>
                                                  <w:gridCol w:w="8440"/>
                                                </w:tblGrid>
                                                <w:tr w:rsidR="008148CB" w:rsidRPr="008148CB" w14:paraId="37CC6E90" w14:textId="77777777">
                                                  <w:tc>
                                                    <w:tcPr>
                                                      <w:tcW w:w="8526" w:type="dxa"/>
                                                      <w:shd w:val="clear" w:color="auto" w:fill="F8F8F8"/>
                                                      <w:tcMar>
                                                        <w:top w:w="270" w:type="dxa"/>
                                                        <w:left w:w="270" w:type="dxa"/>
                                                        <w:bottom w:w="270" w:type="dxa"/>
                                                        <w:right w:w="270" w:type="dxa"/>
                                                      </w:tcMar>
                                                      <w:hideMark/>
                                                    </w:tcPr>
                                                    <w:p w14:paraId="1322B657" w14:textId="77777777" w:rsidR="008148CB" w:rsidRDefault="008148CB" w:rsidP="008148CB">
                                                      <w:pPr>
                                                        <w:spacing w:line="360" w:lineRule="auto"/>
                                                        <w:jc w:val="both"/>
                                                        <w:rPr>
                                                          <w:rFonts w:ascii="Helvetica" w:eastAsia="Times New Roman" w:hAnsi="Helvetica" w:cs="Helvetica"/>
                                                          <w:color w:val="222222"/>
                                                          <w:sz w:val="21"/>
                                                          <w:szCs w:val="21"/>
                                                        </w:rPr>
                                                      </w:pPr>
                                                      <w:r>
                                                        <w:rPr>
                                                          <w:rStyle w:val="Pogrubienie"/>
                                                          <w:rFonts w:ascii="Helvetica" w:eastAsia="Times New Roman" w:hAnsi="Helvetica" w:cs="Helvetica"/>
                                                          <w:color w:val="008080"/>
                                                          <w:sz w:val="36"/>
                                                          <w:szCs w:val="36"/>
                                                        </w:rPr>
                                                        <w:t>WHAT'S IN THE NEWS</w:t>
                                                      </w:r>
                                                    </w:p>
                                                    <w:p w14:paraId="35B9E460" w14:textId="77777777" w:rsidR="008148CB" w:rsidRDefault="008148CB" w:rsidP="008148CB">
                                                      <w:pPr>
                                                        <w:spacing w:line="360" w:lineRule="auto"/>
                                                        <w:jc w:val="both"/>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  </w:t>
                                                      </w:r>
                                                    </w:p>
                                                    <w:p w14:paraId="377AF644" w14:textId="77777777" w:rsidR="008148CB" w:rsidRDefault="008148CB" w:rsidP="008148CB">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br/>
                                                      </w:r>
                                                      <w:r>
                                                        <w:rPr>
                                                          <w:rStyle w:val="Pogrubienie"/>
                                                          <w:rFonts w:ascii="Helvetica" w:eastAsia="Times New Roman" w:hAnsi="Helvetica" w:cs="Helvetica"/>
                                                          <w:color w:val="008080"/>
                                                          <w:sz w:val="21"/>
                                                          <w:szCs w:val="21"/>
                                                        </w:rPr>
                                                        <w:t>ENDs Europe</w:t>
                                                      </w:r>
                                                      <w:r>
                                                        <w:rPr>
                                                          <w:rFonts w:ascii="Helvetica" w:eastAsia="Times New Roman" w:hAnsi="Helvetica" w:cs="Helvetica"/>
                                                          <w:color w:val="222222"/>
                                                          <w:sz w:val="21"/>
                                                          <w:szCs w:val="21"/>
                                                        </w:rPr>
                                                        <w:t xml:space="preserve"> </w:t>
                                                      </w:r>
                                                    </w:p>
                                                    <w:p w14:paraId="03465BCF" w14:textId="77777777" w:rsidR="008148CB" w:rsidRPr="008148CB" w:rsidRDefault="008148CB" w:rsidP="008148CB">
                                                      <w:pPr>
                                                        <w:numPr>
                                                          <w:ilvl w:val="0"/>
                                                          <w:numId w:val="25"/>
                                                        </w:numPr>
                                                        <w:spacing w:before="150" w:after="150" w:line="360" w:lineRule="auto"/>
                                                        <w:jc w:val="both"/>
                                                        <w:rPr>
                                                          <w:rFonts w:ascii="Helvetica" w:hAnsi="Helvetica" w:cs="Helvetica"/>
                                                          <w:color w:val="222222"/>
                                                          <w:sz w:val="21"/>
                                                          <w:szCs w:val="21"/>
                                                          <w:lang w:val="en-US"/>
                                                        </w:rPr>
                                                      </w:pPr>
                                                      <w:r w:rsidRPr="008148CB">
                                                        <w:rPr>
                                                          <w:rFonts w:ascii="Helvetica" w:hAnsi="Helvetica" w:cs="Helvetica"/>
                                                          <w:color w:val="222222"/>
                                                          <w:sz w:val="21"/>
                                                          <w:szCs w:val="21"/>
                                                          <w:lang w:val="en-US"/>
                                                        </w:rPr>
                                                        <w:t>Report suggests EU gas boiler ban should come well before 2029 </w:t>
                                                      </w:r>
                                                    </w:p>
                                                    <w:p w14:paraId="3D3CC427" w14:textId="77777777" w:rsidR="008148CB" w:rsidRPr="008148CB" w:rsidRDefault="008148CB" w:rsidP="008148CB">
                                                      <w:pPr>
                                                        <w:numPr>
                                                          <w:ilvl w:val="0"/>
                                                          <w:numId w:val="25"/>
                                                        </w:numPr>
                                                        <w:spacing w:before="150" w:after="150" w:line="360" w:lineRule="auto"/>
                                                        <w:jc w:val="both"/>
                                                        <w:rPr>
                                                          <w:rFonts w:ascii="Helvetica" w:hAnsi="Helvetica" w:cs="Helvetica"/>
                                                          <w:color w:val="222222"/>
                                                          <w:sz w:val="21"/>
                                                          <w:szCs w:val="21"/>
                                                          <w:lang w:val="en-US"/>
                                                        </w:rPr>
                                                      </w:pPr>
                                                      <w:r w:rsidRPr="008148CB">
                                                        <w:rPr>
                                                          <w:rFonts w:ascii="Helvetica" w:hAnsi="Helvetica" w:cs="Helvetica"/>
                                                          <w:color w:val="222222"/>
                                                          <w:sz w:val="21"/>
                                                          <w:szCs w:val="21"/>
                                                          <w:lang w:val="en-US"/>
                                                        </w:rPr>
                                                        <w:t>MEPs back tougher tougher energy efficiency targets </w:t>
                                                      </w:r>
                                                    </w:p>
                                                    <w:p w14:paraId="5F3DEF99" w14:textId="77777777" w:rsidR="008148CB" w:rsidRPr="008148CB" w:rsidRDefault="008148CB" w:rsidP="008148CB">
                                                      <w:pPr>
                                                        <w:numPr>
                                                          <w:ilvl w:val="0"/>
                                                          <w:numId w:val="25"/>
                                                        </w:numPr>
                                                        <w:spacing w:before="150" w:after="150" w:line="360" w:lineRule="auto"/>
                                                        <w:jc w:val="both"/>
                                                        <w:rPr>
                                                          <w:rFonts w:ascii="Helvetica" w:hAnsi="Helvetica" w:cs="Helvetica"/>
                                                          <w:color w:val="222222"/>
                                                          <w:sz w:val="21"/>
                                                          <w:szCs w:val="21"/>
                                                          <w:lang w:val="en-US"/>
                                                        </w:rPr>
                                                      </w:pPr>
                                                      <w:r w:rsidRPr="008148CB">
                                                        <w:rPr>
                                                          <w:rFonts w:ascii="Helvetica" w:hAnsi="Helvetica" w:cs="Helvetica"/>
                                                          <w:color w:val="222222"/>
                                                          <w:sz w:val="21"/>
                                                          <w:szCs w:val="21"/>
                                                          <w:lang w:val="en-US"/>
                                                        </w:rPr>
                                                        <w:t>Lack of finance slowing EU renovation wave, warn stakeholders </w:t>
                                                      </w:r>
                                                    </w:p>
                                                    <w:p w14:paraId="661DB2D8" w14:textId="77777777" w:rsidR="008148CB" w:rsidRPr="008148CB" w:rsidRDefault="008148CB" w:rsidP="008148CB">
                                                      <w:pPr>
                                                        <w:numPr>
                                                          <w:ilvl w:val="0"/>
                                                          <w:numId w:val="25"/>
                                                        </w:numPr>
                                                        <w:spacing w:before="150" w:after="150" w:line="360" w:lineRule="auto"/>
                                                        <w:jc w:val="both"/>
                                                        <w:rPr>
                                                          <w:rFonts w:ascii="Helvetica" w:hAnsi="Helvetica" w:cs="Helvetica"/>
                                                          <w:color w:val="222222"/>
                                                          <w:sz w:val="21"/>
                                                          <w:szCs w:val="21"/>
                                                          <w:lang w:val="en-US"/>
                                                        </w:rPr>
                                                      </w:pPr>
                                                      <w:r w:rsidRPr="008148CB">
                                                        <w:rPr>
                                                          <w:rFonts w:ascii="Helvetica" w:hAnsi="Helvetica" w:cs="Helvetica"/>
                                                          <w:color w:val="222222"/>
                                                          <w:sz w:val="21"/>
                                                          <w:szCs w:val="21"/>
                                                          <w:lang w:val="en-US"/>
                                                        </w:rPr>
                                                        <w:t>How the EU is facing up to the prospect of winter energy shortages </w:t>
                                                      </w:r>
                                                    </w:p>
                                                    <w:p w14:paraId="1C6308C0" w14:textId="77777777" w:rsidR="008148CB" w:rsidRDefault="008148CB" w:rsidP="008148CB">
                                                      <w:pPr>
                                                        <w:spacing w:before="150" w:after="150" w:line="360" w:lineRule="auto"/>
                                                        <w:jc w:val="both"/>
                                                        <w:rPr>
                                                          <w:rFonts w:ascii="Helvetica" w:hAnsi="Helvetica" w:cs="Helvetica"/>
                                                          <w:color w:val="222222"/>
                                                          <w:sz w:val="21"/>
                                                          <w:szCs w:val="21"/>
                                                        </w:rPr>
                                                      </w:pPr>
                                                      <w:r>
                                                        <w:rPr>
                                                          <w:rStyle w:val="Pogrubienie"/>
                                                          <w:rFonts w:ascii="Helvetica" w:hAnsi="Helvetica" w:cs="Helvetica"/>
                                                          <w:color w:val="008080"/>
                                                          <w:sz w:val="21"/>
                                                          <w:szCs w:val="21"/>
                                                        </w:rPr>
                                                        <w:t>Agence Europe</w:t>
                                                      </w:r>
                                                    </w:p>
                                                    <w:p w14:paraId="1E536007" w14:textId="77777777" w:rsidR="008148CB" w:rsidRPr="008148CB" w:rsidRDefault="008148CB" w:rsidP="008148CB">
                                                      <w:pPr>
                                                        <w:numPr>
                                                          <w:ilvl w:val="0"/>
                                                          <w:numId w:val="26"/>
                                                        </w:numPr>
                                                        <w:spacing w:before="150" w:after="150" w:line="360" w:lineRule="auto"/>
                                                        <w:jc w:val="both"/>
                                                        <w:rPr>
                                                          <w:rFonts w:ascii="Helvetica" w:hAnsi="Helvetica" w:cs="Helvetica"/>
                                                          <w:color w:val="222222"/>
                                                          <w:sz w:val="21"/>
                                                          <w:szCs w:val="21"/>
                                                          <w:lang w:val="en-US"/>
                                                        </w:rPr>
                                                      </w:pPr>
                                                      <w:r w:rsidRPr="008148CB">
                                                        <w:rPr>
                                                          <w:rFonts w:ascii="Helvetica" w:hAnsi="Helvetica" w:cs="Helvetica"/>
                                                          <w:color w:val="222222"/>
                                                          <w:sz w:val="21"/>
                                                          <w:szCs w:val="21"/>
                                                          <w:lang w:val="en-US"/>
                                                        </w:rPr>
                                                        <w:t>Czech Presidency of EU Council proposes new methodology for energy performance standards of buildings </w:t>
                                                      </w:r>
                                                    </w:p>
                                                    <w:p w14:paraId="7F97C1CF" w14:textId="77777777" w:rsidR="008148CB" w:rsidRPr="008148CB" w:rsidRDefault="008148CB" w:rsidP="008148CB">
                                                      <w:pPr>
                                                        <w:numPr>
                                                          <w:ilvl w:val="0"/>
                                                          <w:numId w:val="26"/>
                                                        </w:numPr>
                                                        <w:spacing w:before="150" w:after="150" w:line="360" w:lineRule="auto"/>
                                                        <w:jc w:val="both"/>
                                                        <w:rPr>
                                                          <w:rFonts w:ascii="Helvetica" w:hAnsi="Helvetica" w:cs="Helvetica"/>
                                                          <w:color w:val="222222"/>
                                                          <w:sz w:val="21"/>
                                                          <w:szCs w:val="21"/>
                                                          <w:lang w:val="en-US"/>
                                                        </w:rPr>
                                                      </w:pPr>
                                                      <w:r w:rsidRPr="008148CB">
                                                        <w:rPr>
                                                          <w:rFonts w:ascii="Helvetica" w:hAnsi="Helvetica" w:cs="Helvetica"/>
                                                          <w:color w:val="222222"/>
                                                          <w:sz w:val="21"/>
                                                          <w:szCs w:val="21"/>
                                                          <w:lang w:val="en-US"/>
                                                        </w:rPr>
                                                        <w:t>MEPs want to aim for 14.5% reduction in EU energy consumption by 2030 </w:t>
                                                      </w:r>
                                                    </w:p>
                                                    <w:p w14:paraId="7BF31729" w14:textId="77777777" w:rsidR="008148CB" w:rsidRPr="008148CB" w:rsidRDefault="008148CB" w:rsidP="008148CB">
                                                      <w:pPr>
                                                        <w:numPr>
                                                          <w:ilvl w:val="0"/>
                                                          <w:numId w:val="26"/>
                                                        </w:numPr>
                                                        <w:spacing w:before="150" w:after="150" w:line="360" w:lineRule="auto"/>
                                                        <w:jc w:val="both"/>
                                                        <w:rPr>
                                                          <w:rFonts w:ascii="Helvetica" w:hAnsi="Helvetica" w:cs="Helvetica"/>
                                                          <w:color w:val="222222"/>
                                                          <w:sz w:val="21"/>
                                                          <w:szCs w:val="21"/>
                                                          <w:lang w:val="en-US"/>
                                                        </w:rPr>
                                                      </w:pPr>
                                                      <w:r w:rsidRPr="008148CB">
                                                        <w:rPr>
                                                          <w:rFonts w:ascii="Helvetica" w:hAnsi="Helvetica" w:cs="Helvetica"/>
                                                          <w:color w:val="222222"/>
                                                          <w:sz w:val="21"/>
                                                          <w:szCs w:val="21"/>
                                                          <w:lang w:val="en-US"/>
                                                        </w:rPr>
                                                        <w:t>Inter-institutional negotiations start on CBAM and revision of European carbon market </w:t>
                                                      </w:r>
                                                    </w:p>
                                                  </w:tc>
                                                </w:tr>
                                              </w:tbl>
                                              <w:p w14:paraId="38BA6F18" w14:textId="77777777" w:rsidR="008148CB" w:rsidRPr="008148CB" w:rsidRDefault="008148CB" w:rsidP="008148CB">
                                                <w:pPr>
                                                  <w:rPr>
                                                    <w:rFonts w:ascii="Times New Roman" w:eastAsia="Times New Roman" w:hAnsi="Times New Roman" w:cs="Times New Roman"/>
                                                    <w:sz w:val="20"/>
                                                    <w:szCs w:val="20"/>
                                                    <w:lang w:val="en-US"/>
                                                  </w:rPr>
                                                </w:pPr>
                                              </w:p>
                                            </w:tc>
                                          </w:tr>
                                        </w:tbl>
                                        <w:p w14:paraId="5C5F5E88" w14:textId="77777777" w:rsidR="008148CB" w:rsidRPr="008148CB" w:rsidRDefault="008148CB" w:rsidP="008148CB">
                                          <w:pPr>
                                            <w:rPr>
                                              <w:rFonts w:ascii="Times New Roman" w:eastAsia="Times New Roman" w:hAnsi="Times New Roman" w:cs="Times New Roman"/>
                                              <w:sz w:val="20"/>
                                              <w:szCs w:val="20"/>
                                              <w:lang w:val="en-US"/>
                                            </w:rPr>
                                          </w:pPr>
                                        </w:p>
                                      </w:tc>
                                    </w:tr>
                                  </w:tbl>
                                  <w:p w14:paraId="76E69768" w14:textId="77777777" w:rsidR="008148CB" w:rsidRPr="008148CB" w:rsidRDefault="008148CB" w:rsidP="008148CB">
                                    <w:pPr>
                                      <w:jc w:val="center"/>
                                      <w:rPr>
                                        <w:rFonts w:ascii="Times New Roman" w:eastAsia="Times New Roman" w:hAnsi="Times New Roman" w:cs="Times New Roman"/>
                                        <w:sz w:val="20"/>
                                        <w:szCs w:val="20"/>
                                        <w:lang w:val="en-US"/>
                                      </w:rPr>
                                    </w:pPr>
                                  </w:p>
                                </w:tc>
                              </w:tr>
                            </w:tbl>
                            <w:p w14:paraId="757F169A" w14:textId="77777777" w:rsidR="008148CB" w:rsidRDefault="008148CB" w:rsidP="008148CB">
                              <w:pPr>
                                <w:rPr>
                                  <w:rFonts w:eastAsia="Times New Roman"/>
                                  <w:vanish/>
                                </w:rPr>
                              </w:pPr>
                            </w:p>
                            <w:tbl>
                              <w:tblPr>
                                <w:tblW w:w="5000" w:type="pct"/>
                                <w:tblLayout w:type="fixed"/>
                                <w:tblCellMar>
                                  <w:left w:w="0" w:type="dxa"/>
                                  <w:right w:w="0" w:type="dxa"/>
                                </w:tblCellMar>
                                <w:tblLook w:val="04A0" w:firstRow="1" w:lastRow="0" w:firstColumn="1" w:lastColumn="0" w:noHBand="0" w:noVBand="1"/>
                              </w:tblPr>
                              <w:tblGrid>
                                <w:gridCol w:w="9000"/>
                              </w:tblGrid>
                              <w:tr w:rsidR="008148CB" w14:paraId="1FF349BE" w14:textId="77777777">
                                <w:tc>
                                  <w:tcPr>
                                    <w:tcW w:w="9072" w:type="dxa"/>
                                    <w:tcMar>
                                      <w:top w:w="135" w:type="dxa"/>
                                      <w:left w:w="0" w:type="dxa"/>
                                      <w:bottom w:w="0" w:type="dxa"/>
                                      <w:right w:w="0" w:type="dxa"/>
                                    </w:tcMar>
                                    <w:hideMark/>
                                  </w:tcPr>
                                  <w:tbl>
                                    <w:tblPr>
                                      <w:tblpPr w:vertAnchor="text"/>
                                      <w:tblW w:w="5000" w:type="pct"/>
                                      <w:tblLayout w:type="fixed"/>
                                      <w:tblCellMar>
                                        <w:left w:w="0" w:type="dxa"/>
                                        <w:right w:w="0" w:type="dxa"/>
                                      </w:tblCellMar>
                                      <w:tblLook w:val="04A0" w:firstRow="1" w:lastRow="0" w:firstColumn="1" w:lastColumn="0" w:noHBand="0" w:noVBand="1"/>
                                    </w:tblPr>
                                    <w:tblGrid>
                                      <w:gridCol w:w="9000"/>
                                    </w:tblGrid>
                                    <w:tr w:rsidR="008148CB" w14:paraId="50A172A6" w14:textId="77777777">
                                      <w:tc>
                                        <w:tcPr>
                                          <w:tcW w:w="9000" w:type="dxa"/>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000"/>
                                          </w:tblGrid>
                                          <w:tr w:rsidR="008148CB" w14:paraId="6138487F" w14:textId="77777777">
                                            <w:tc>
                                              <w:tcPr>
                                                <w:tcW w:w="9072" w:type="dxa"/>
                                                <w:tcMar>
                                                  <w:top w:w="0" w:type="dxa"/>
                                                  <w:left w:w="270" w:type="dxa"/>
                                                  <w:bottom w:w="135" w:type="dxa"/>
                                                  <w:right w:w="270" w:type="dxa"/>
                                                </w:tcMar>
                                                <w:hideMark/>
                                              </w:tcPr>
                                              <w:p w14:paraId="27930C61"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Style w:val="Pogrubienie"/>
                                                    <w:rFonts w:ascii="Helvetica" w:hAnsi="Helvetica" w:cs="Helvetica"/>
                                                    <w:color w:val="202020"/>
                                                    <w:sz w:val="24"/>
                                                    <w:szCs w:val="24"/>
                                                    <w:lang w:val="en-US"/>
                                                  </w:rPr>
                                                  <w:t>ENDs Europe</w:t>
                                                </w:r>
                                              </w:p>
                                              <w:p w14:paraId="4F4EB795"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Style w:val="Pogrubienie"/>
                                                    <w:rFonts w:ascii="Helvetica" w:hAnsi="Helvetica" w:cs="Helvetica"/>
                                                    <w:color w:val="202020"/>
                                                    <w:sz w:val="24"/>
                                                    <w:szCs w:val="24"/>
                                                    <w:lang w:val="en-US"/>
                                                  </w:rPr>
                                                  <w:t>Report suggests EU gas boiler ban should come well before 2029 </w:t>
                                                </w:r>
                                              </w:p>
                                              <w:p w14:paraId="19E5C0DF"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18 Jul 2022 </w:t>
                                                </w:r>
                                              </w:p>
                                              <w:p w14:paraId="1E24FA83"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Banning the sale of new fossil fuel heating boilers from next year would cut annual gas demand in 2030 by the equivalent of 11% of current imports into the EU, a new study suggests. </w:t>
                                                </w:r>
                                              </w:p>
                                              <w:p w14:paraId="0BAB42B8"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lastRenderedPageBreak/>
                                                  <w:t>While ending their sale in 2023 would cut energy demand by 460 TWh or the equivalent of 28% of current imports from Russia, a 2025 deadline would see that figure fall to just 21%. But the 2029 phase-out date</w:t>
                                                </w:r>
                                                <w:hyperlink r:id="rId27" w:tgtFrame="_blank" w:history="1">
                                                  <w:r w:rsidRPr="008148CB">
                                                    <w:rPr>
                                                      <w:rStyle w:val="Hipercze"/>
                                                      <w:rFonts w:ascii="Helvetica" w:hAnsi="Helvetica" w:cs="Helvetica"/>
                                                      <w:color w:val="007C89"/>
                                                      <w:sz w:val="24"/>
                                                      <w:szCs w:val="24"/>
                                                      <w:lang w:val="en-US"/>
                                                    </w:rPr>
                                                    <w:t xml:space="preserve"> proposed by the European Commission</w:t>
                                                  </w:r>
                                                </w:hyperlink>
                                                <w:r w:rsidRPr="008148CB">
                                                  <w:rPr>
                                                    <w:rFonts w:ascii="Helvetica" w:hAnsi="Helvetica" w:cs="Helvetica"/>
                                                    <w:color w:val="202020"/>
                                                    <w:sz w:val="24"/>
                                                    <w:szCs w:val="24"/>
                                                    <w:lang w:val="en-US"/>
                                                  </w:rPr>
                                                  <w:t xml:space="preserve"> as part of its response to Russia’s war on Ukraine would shave a mere 1% off total gas import requirements the following year. </w:t>
                                                </w:r>
                                              </w:p>
                                              <w:p w14:paraId="442B3920"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This is the conclusion of a report, published on Monday, by German thinktank Oeko Institut for the Cool Products campaign alliance, with input from Freiburg University, prompting green groups to renew calls for an earlier phase-out date. </w:t>
                                                </w:r>
                                              </w:p>
                                              <w:p w14:paraId="493B67E0"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“If we are serious about breaking free from gas dependency and lower consumers' bills it's time to walk the talk and introduce a EU-wide ban on placing on the market of fossil boilers: it's a win-win measure for both climate and EU's energy independence,” said Davide Sabaddin, deputy policy manager for climate at the European Environmental Bureau (EEB). </w:t>
                                                </w:r>
                                              </w:p>
                                              <w:p w14:paraId="070CE1C2"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The European Commission plans to implement its 2029 ban through the current Ecodesign Directive, by formulating an energy performance standard for space and water heaters that not even the most efficient gas boilers could meet. A group of NGOs wrote to the EU executive in April calling for a 110% energy performance standard to be in place</w:t>
                                                </w:r>
                                                <w:hyperlink r:id="rId28" w:tgtFrame="_blank" w:history="1">
                                                  <w:r w:rsidRPr="008148CB">
                                                    <w:rPr>
                                                      <w:rStyle w:val="Hipercze"/>
                                                      <w:rFonts w:ascii="Helvetica" w:hAnsi="Helvetica" w:cs="Helvetica"/>
                                                      <w:color w:val="007C89"/>
                                                      <w:sz w:val="24"/>
                                                      <w:szCs w:val="24"/>
                                                      <w:lang w:val="en-US"/>
                                                    </w:rPr>
                                                    <w:t xml:space="preserve"> by 2025 at the latest</w:t>
                                                  </w:r>
                                                </w:hyperlink>
                                                <w:r w:rsidRPr="008148CB">
                                                  <w:rPr>
                                                    <w:rFonts w:ascii="Helvetica" w:hAnsi="Helvetica" w:cs="Helvetica"/>
                                                    <w:color w:val="202020"/>
                                                    <w:sz w:val="24"/>
                                                    <w:szCs w:val="24"/>
                                                    <w:lang w:val="en-US"/>
                                                  </w:rPr>
                                                  <w:t>. </w:t>
                                                </w:r>
                                              </w:p>
                                              <w:p w14:paraId="143D79BD"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The Cool Products report makes a number of assumptions, including a boiler replacement rate of 4% a year based on an estimated lifetime of 25 years. It is assumed expiring gas boilers would be replaced in 80% of cases by heat pumps, with district heating and other solutions accounting for the rest, but the process would be gradual rather than the abrupt switch away from gas that climate campaigners and others are calling for. </w:t>
                                                </w:r>
                                              </w:p>
                                              <w:p w14:paraId="15740C39"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“In parallel, we advocate for a much higher renovation rate both in the [Energy Efficiency Directive] EED and [Energy Performance of Buildings Directive] EPBD and this would of course multiply the ecodesign ban effect because it would drive technology change beyond the ‘usual’ turnover rate,” Sabaddin told ENDS Europe, referring to replacement only when a unit breaks down. </w:t>
                                                </w:r>
                                              </w:p>
                                              <w:p w14:paraId="2005A1E7"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 xml:space="preserve">The Commission’s energy directorate is currently working on an impact assessment for its proposed efficiency standard, and is expected to reach a final position towards November. This would be followed by consultation with other </w:t>
                                                </w:r>
                                                <w:r w:rsidRPr="008148CB">
                                                  <w:rPr>
                                                    <w:rFonts w:ascii="Helvetica" w:hAnsi="Helvetica" w:cs="Helvetica"/>
                                                    <w:color w:val="202020"/>
                                                    <w:sz w:val="24"/>
                                                    <w:szCs w:val="24"/>
                                                    <w:lang w:val="en-US"/>
                                                  </w:rPr>
                                                  <w:lastRenderedPageBreak/>
                                                  <w:t>departments of the EU executive, and draft legislation would probably not be ready before autumn of 2023. </w:t>
                                                </w:r>
                                              </w:p>
                                              <w:p w14:paraId="1320E16E"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Commission vice-president Frans Timmermans is due to present this Wednesday a winter energy preparedness plan, which is set to include emergency measures to deal with a complete cut-off of Russian gas supplies, which will probably emphasise the importance of insulating buildings and substituting fossil fuel heating with sustainable alternatives. </w:t>
                                                </w:r>
                                              </w:p>
                                              <w:p w14:paraId="6F74E983"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 </w:t>
                                                </w:r>
                                              </w:p>
                                              <w:p w14:paraId="732F3B66"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Style w:val="Pogrubienie"/>
                                                    <w:rFonts w:ascii="Helvetica" w:hAnsi="Helvetica" w:cs="Helvetica"/>
                                                    <w:color w:val="202020"/>
                                                    <w:sz w:val="24"/>
                                                    <w:szCs w:val="24"/>
                                                    <w:lang w:val="en-US"/>
                                                  </w:rPr>
                                                  <w:t>MEPs back tougher tougher energy efficiency targets </w:t>
                                                </w:r>
                                              </w:p>
                                              <w:p w14:paraId="7606BF26"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13 Jul 2022 </w:t>
                                                </w:r>
                                              </w:p>
                                              <w:p w14:paraId="7BE001D2"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The European Parliament’s industry committee has adopted a more hawkish stance than the Commission or EU Council in backing legally binding requirements for member states to cut energy consumption by the end of the decade. </w:t>
                                                </w:r>
                                              </w:p>
                                              <w:p w14:paraId="5BB2E094"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 xml:space="preserve">ITRE, as the committee is known, adopted on Wednesday by 50 votes to seven with 13 abstentions </w:t>
                                                </w:r>
                                                <w:hyperlink r:id="rId29" w:tgtFrame="_blank" w:history="1">
                                                  <w:r w:rsidRPr="008148CB">
                                                    <w:rPr>
                                                      <w:rStyle w:val="Hipercze"/>
                                                      <w:rFonts w:ascii="Helvetica" w:hAnsi="Helvetica" w:cs="Helvetica"/>
                                                      <w:color w:val="007C89"/>
                                                      <w:sz w:val="24"/>
                                                      <w:szCs w:val="24"/>
                                                      <w:lang w:val="en-US"/>
                                                    </w:rPr>
                                                    <w:t>a draft report</w:t>
                                                  </w:r>
                                                </w:hyperlink>
                                                <w:r w:rsidRPr="008148CB">
                                                  <w:rPr>
                                                    <w:rFonts w:ascii="Helvetica" w:hAnsi="Helvetica" w:cs="Helvetica"/>
                                                    <w:color w:val="202020"/>
                                                    <w:sz w:val="24"/>
                                                    <w:szCs w:val="24"/>
                                                    <w:lang w:val="en-US"/>
                                                  </w:rPr>
                                                  <w:t xml:space="preserve"> on a proposed revision of the Energy Efficiency Directive (EED). It calls for final energy consumption to be 40% below, and primary energy consumption to be 42.5% below, a forecast for 2030 based on the growth trajectory as it appeared in 2007. </w:t>
                                                </w:r>
                                              </w:p>
                                              <w:p w14:paraId="785E8160"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The European Commission had proposed a 9% reduction, which it based on a new 2020 baseline to account for dramatic changes in Europe’s energy landscape over the past decade and more. It proposed last month to increase that target to 13% in light of the ongoing energy crisis. </w:t>
                                                </w:r>
                                              </w:p>
                                              <w:p w14:paraId="5C964A7E"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Governments recently agreed to the original 9% target, leaving the matter of a possible four-point increase in the wake of Russia’s invasion of Ukraine to subsequent ‘trilogue’ talks between the EU’s legislative bodies. </w:t>
                                                </w:r>
                                              </w:p>
                                              <w:p w14:paraId="0CB49F1D"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Using the 2020 baseline, the position adopted by the ITRE committee today equates to 14.5% below the more recent baseline scenario. </w:t>
                                                </w:r>
                                              </w:p>
                                              <w:p w14:paraId="0848DF20"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lastRenderedPageBreak/>
                                                  <w:t>ITRE differs from the Council position not only in terms of headline target: it also wants both consumption targets to be legally binding, while governments said only the cut in final energy use should be obligatory. Moreover, the parliamentary committee wants legally binding national targets for each of the 27 member states – something the Council staunchly opposes. </w:t>
                                                </w:r>
                                              </w:p>
                                              <w:p w14:paraId="6EA47BF4"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The committee also agreed that MEPs should push for the explicit annual energy savings obligation stipulated in the directive to be raised to 2%, compared to 1.5% proposed by the Commission and supported by the Council. </w:t>
                                                </w:r>
                                              </w:p>
                                              <w:p w14:paraId="37343BB9"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Of this 2%, up to a quarter can be achieved through fossil fuel solutions, such as replacing public transport with newer, more efficient systems, but only until 2028, whereafter only replacement with sustainable renewable energy solutions will count. </w:t>
                                                </w:r>
                                              </w:p>
                                              <w:p w14:paraId="69E3FA40"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This proviso does not apply to home heating however. Only replacement with sustainable solutions such as heat pumps or renewable energy will count from the moment the law enters into force. </w:t>
                                                </w:r>
                                              </w:p>
                                              <w:p w14:paraId="6A04657B"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“We don’t want to incentivise new fossil boilers in residential buildings, so going from an oil boiler to a gas boiler cannot be counted in the energy savings obligation,” S&amp;D group lawmaker Niels Fuglsang, rapporteur for the file, said at a press conference after the vote. </w:t>
                                                </w:r>
                                              </w:p>
                                              <w:p w14:paraId="45B5FFAB"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Addressing one of the key areas of energy consumption – and waste – in the EU, the ITRE position calls for the extension of a requirement to renovate at least 3% of publicly owned buildings each year – to include many of those rented by public bodies. </w:t>
                                                </w:r>
                                              </w:p>
                                              <w:p w14:paraId="721E10BE"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It also covers social housing, although member states can opt out if there is a risk of increased rents because the cost of renovation outstrips the money saved through energy efficiency improvements. Moreover, ITRE calls for public money spent on energy efficiency to go to those living in energy poverty in proportion to their numbers in the population as a whole. </w:t>
                                                </w:r>
                                              </w:p>
                                              <w:p w14:paraId="0675501F"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 xml:space="preserve">ITRE adds a provision on data centres, which would have to connect to district heating networks – which can make use of the excess heat they generate – unless they can demonstrate that it is not technically feasible. All municipalities </w:t>
                                                </w:r>
                                                <w:r w:rsidRPr="008148CB">
                                                  <w:rPr>
                                                    <w:rFonts w:ascii="Helvetica" w:hAnsi="Helvetica" w:cs="Helvetica"/>
                                                    <w:color w:val="202020"/>
                                                    <w:sz w:val="24"/>
                                                    <w:szCs w:val="24"/>
                                                    <w:lang w:val="en-US"/>
                                                  </w:rPr>
                                                  <w:lastRenderedPageBreak/>
                                                  <w:t>of over 30,000 people would have to make a heating plan, and consider district heating as an option. </w:t>
                                                </w:r>
                                              </w:p>
                                              <w:p w14:paraId="5D8F7BEB"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The committee also backed tougher enforcement provision built around the legal obligation to meet the targets at the national and EU level. The draft negotiating mandate was broadly welcomed by the Coalition for Energy Savings, whose membership includes a diverse alliance of industry and local authority bodies. </w:t>
                                                </w:r>
                                              </w:p>
                                              <w:p w14:paraId="6491CB39"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Arianna Vitali, the coalition’s secretary general, said it would “signal that a strong legal framework to cut demand, thanks to energy efficiency measures and investments, is the way forward for an energy independent, inclusive, and climate neutral EU”. </w:t>
                                                </w:r>
                                              </w:p>
                                              <w:p w14:paraId="482E3647"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Jutta Paulus, shadow rapporteur on the file for the Greens, urged the Parliament to back the ITRE position in a plenary vote, slated for September, that will precede the trilogue talks. She particularly welcomed the call for binding targets, “because voluntarism and low targets will not advance the urgently needed changes”. </w:t>
                                                </w:r>
                                              </w:p>
                                              <w:p w14:paraId="2FE52333"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“Under pressure from us Greens, subsidies for climate-damaging fossil gas boilers will also be removed as an efficiency measure,” Paulus added. </w:t>
                                                </w:r>
                                              </w:p>
                                              <w:p w14:paraId="04843A77"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Fuglsang anticipated “further intense negotiations” after the summer break, noting that the Czech EU Council presidency had indicated it would prioritise the file. “In this time of too much energy dependency on Russia, we can actually increase our independence by increasing energy efficiency,” Fuglsang said. </w:t>
                                                </w:r>
                                              </w:p>
                                              <w:p w14:paraId="5FC3A006"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Discussing his country’s EU Council presidency mandate with the ITRE committee this morning, Czech industry minister Jozef Síkela spoke of the need to inform Europeans of the need to cut back. “It is very important to make it clear to citizens that energy savings will be absolutely imperative,” Síkela said. </w:t>
                                                </w:r>
                                              </w:p>
                                              <w:p w14:paraId="6EDEFA3E"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 </w:t>
                                                </w:r>
                                              </w:p>
                                              <w:p w14:paraId="7B330439"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Style w:val="Pogrubienie"/>
                                                    <w:rFonts w:ascii="Helvetica" w:hAnsi="Helvetica" w:cs="Helvetica"/>
                                                    <w:color w:val="202020"/>
                                                    <w:sz w:val="24"/>
                                                    <w:szCs w:val="24"/>
                                                    <w:lang w:val="en-US"/>
                                                  </w:rPr>
                                                  <w:t>Lack of finance slowing EU renovation wave, warn stakeholders </w:t>
                                                </w:r>
                                              </w:p>
                                              <w:p w14:paraId="6F35E787"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12 Jul 2022 </w:t>
                                                </w:r>
                                              </w:p>
                                              <w:p w14:paraId="02002ABF"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lastRenderedPageBreak/>
                                                  <w:t>There is a “big gap” between the EU’s building renovation ambitions and reality, said stakeholders at an event in Brussels yesterday, citing finance as one of the main obstacles. </w:t>
                                                </w:r>
                                              </w:p>
                                              <w:p w14:paraId="5B7488DF"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As a flurry of policies on energy efficiency in buildings works its way through the EU legislative maze, Sorcha Edwards, secretary general of Housing Europe, a housing campaign group, warned that “new obligations and targets are being imposed without the funding in place at national and local level”. </w:t>
                                                </w:r>
                                              </w:p>
                                              <w:p w14:paraId="20B3C8A7"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 xml:space="preserve">The comments came during the final conference of EU-funded consortium HEART, which aims at improving energy buildings efficiency. Through the </w:t>
                                                </w:r>
                                                <w:hyperlink r:id="rId30" w:tgtFrame="_blank" w:history="1">
                                                  <w:r w:rsidRPr="008148CB">
                                                    <w:rPr>
                                                      <w:rStyle w:val="Hipercze"/>
                                                      <w:rFonts w:ascii="Helvetica" w:hAnsi="Helvetica" w:cs="Helvetica"/>
                                                      <w:color w:val="007C89"/>
                                                      <w:sz w:val="24"/>
                                                      <w:szCs w:val="24"/>
                                                      <w:lang w:val="en-US"/>
                                                    </w:rPr>
                                                    <w:t>Renovation Wave</w:t>
                                                  </w:r>
                                                </w:hyperlink>
                                                <w:r w:rsidRPr="008148CB">
                                                  <w:rPr>
                                                    <w:rFonts w:ascii="Helvetica" w:hAnsi="Helvetica" w:cs="Helvetica"/>
                                                    <w:color w:val="202020"/>
                                                    <w:sz w:val="24"/>
                                                    <w:szCs w:val="24"/>
                                                    <w:lang w:val="en-US"/>
                                                  </w:rPr>
                                                  <w:t xml:space="preserve">, the European Commission hopes to renovate 35 million households by 2030 and will set new energy standards through </w:t>
                                                </w:r>
                                                <w:hyperlink r:id="rId31" w:tgtFrame="_blank" w:history="1">
                                                  <w:r w:rsidRPr="008148CB">
                                                    <w:rPr>
                                                      <w:rStyle w:val="Hipercze"/>
                                                      <w:rFonts w:ascii="Helvetica" w:hAnsi="Helvetica" w:cs="Helvetica"/>
                                                      <w:color w:val="007C89"/>
                                                      <w:sz w:val="24"/>
                                                      <w:szCs w:val="24"/>
                                                      <w:lang w:val="en-US"/>
                                                    </w:rPr>
                                                    <w:t>an ongoing revision</w:t>
                                                  </w:r>
                                                </w:hyperlink>
                                                <w:r w:rsidRPr="008148CB">
                                                  <w:rPr>
                                                    <w:rFonts w:ascii="Helvetica" w:hAnsi="Helvetica" w:cs="Helvetica"/>
                                                    <w:color w:val="202020"/>
                                                    <w:sz w:val="24"/>
                                                    <w:szCs w:val="24"/>
                                                    <w:lang w:val="en-US"/>
                                                  </w:rPr>
                                                  <w:t xml:space="preserve"> of the Energy Performance of Buildings Directive (EPBD). </w:t>
                                                </w:r>
                                              </w:p>
                                              <w:p w14:paraId="2C257FE4"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Karlis Goldstein, an energy efficiency adviser in commissioner Kadri Simson’s cabinet, defended the Commission’s choice to “leave freedom to member states to choose which financial tools to put in place” in the EPBD. </w:t>
                                                </w:r>
                                              </w:p>
                                              <w:p w14:paraId="35A823C6"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Housing Europe’s Edwards agreed that flexibility for different member states is important, however, she stressed that there needs to be more tools available – “such as revolving funds, subsidised loans and public guaranteed funds” - to homeowners and housing associations.  “We need to look at what works and replicate it,” she said. </w:t>
                                                </w:r>
                                              </w:p>
                                              <w:p w14:paraId="0E712385"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Adrian Joyce, secretary general of EuroACE, a trade association for energy efficiency in buildings, said speed was critical to achieve renovation targets. “We need to move on from pilot and demonstration projects,” he said. “We know it all works, we know we have the technologies and materials”. </w:t>
                                                </w:r>
                                              </w:p>
                                              <w:p w14:paraId="256C6ED3"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Joyce also criticised the emphasis on cost-effectiveness. “In renovated homes, the real benefits to wellbeing can be significantly greater than they appear through typical return-on-investment thinking,” he said. </w:t>
                                                </w:r>
                                              </w:p>
                                              <w:p w14:paraId="4BE44F65"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As part of the Fit for 55 package, the Commission proposed a social climate fund, with a value of €72.2bn between 2025-2032, fed by the extension of the EU’s emissions trading system to buildings and road transport. </w:t>
                                                </w:r>
                                              </w:p>
                                              <w:p w14:paraId="10C6BF1E"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lastRenderedPageBreak/>
                                                  <w:t>Edwards warned that the €72.2bn target is “still far very far from what we will need”, and even warned that the timing of the extension “may accentuate the affordability crisis that we are seeing in the sector, before we can correct it with the climate fund”. </w:t>
                                                </w:r>
                                                <w:r w:rsidRPr="008148CB">
                                                  <w:rPr>
                                                    <w:rFonts w:ascii="Helvetica" w:hAnsi="Helvetica" w:cs="Helvetica"/>
                                                    <w:color w:val="202020"/>
                                                    <w:sz w:val="24"/>
                                                    <w:szCs w:val="24"/>
                                                    <w:lang w:val="en-US"/>
                                                  </w:rPr>
                                                  <w:br/>
                                                  <w:t>......................................................................................................................................................... </w:t>
                                                </w:r>
                                              </w:p>
                                              <w:p w14:paraId="339EAB2E"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Style w:val="Pogrubienie"/>
                                                    <w:rFonts w:ascii="Helvetica" w:hAnsi="Helvetica" w:cs="Helvetica"/>
                                                    <w:color w:val="202020"/>
                                                    <w:sz w:val="24"/>
                                                    <w:szCs w:val="24"/>
                                                    <w:lang w:val="en-US"/>
                                                  </w:rPr>
                                                  <w:t>How the EU is facing up to the prospect of winter energy shortages </w:t>
                                                </w:r>
                                              </w:p>
                                              <w:p w14:paraId="6919CFE9"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14 Jul 2022 </w:t>
                                                </w:r>
                                              </w:p>
                                              <w:p w14:paraId="1E4A136F"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As the European Commission prepares its ‘winter preparedness’ plan for possible gas shortages, member states are ramping up measures to ease the burden of rising prices on citizens. Some are greener than others. </w:t>
                                                </w:r>
                                              </w:p>
                                              <w:p w14:paraId="1AD8517C"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Europe appears to have been in denial, but reality may be seeping in through the cracks – we could be facing energy shortages come winter. When Russia launched its war on Ukraine in February, the EU’s dependence on Russia for much of its oil and gas was laid bare even to those who had chosen to ignore it. </w:t>
                                                </w:r>
                                              </w:p>
                                              <w:p w14:paraId="77BAB273"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 xml:space="preserve">“Kadri [Simson] and I are among those who have warned for a long time about too much dependency on Russia and who had no illusions about Mr Putin and his regime,” green deal chief Frans Timmermans </w:t>
                                                </w:r>
                                                <w:hyperlink r:id="rId32" w:tgtFrame="_blank" w:history="1">
                                                  <w:r w:rsidRPr="008148CB">
                                                    <w:rPr>
                                                      <w:rStyle w:val="Hipercze"/>
                                                      <w:rFonts w:ascii="Helvetica" w:hAnsi="Helvetica" w:cs="Helvetica"/>
                                                      <w:color w:val="007C89"/>
                                                      <w:sz w:val="24"/>
                                                      <w:szCs w:val="24"/>
                                                      <w:lang w:val="en-US"/>
                                                    </w:rPr>
                                                    <w:t>said</w:t>
                                                  </w:r>
                                                </w:hyperlink>
                                                <w:r w:rsidRPr="008148CB">
                                                  <w:rPr>
                                                    <w:rFonts w:ascii="Helvetica" w:hAnsi="Helvetica" w:cs="Helvetica"/>
                                                    <w:color w:val="202020"/>
                                                    <w:sz w:val="24"/>
                                                    <w:szCs w:val="24"/>
                                                    <w:lang w:val="en-US"/>
                                                  </w:rPr>
                                                  <w:t xml:space="preserve"> in March when asked why the EU had not acted sooner. Presenting the first draft of the REPowerEU plan, he said the Commission could now only play the hand it had been dealt. </w:t>
                                                </w:r>
                                              </w:p>
                                              <w:p w14:paraId="505CCCA7"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 xml:space="preserve">Recent weeks have seen moves to more rapidly reduce dependence on fossil fuels, exposure to Russian blackmail proving a more effective motivator than pollution and an increasingly unstable climate. The plan calls for a sharp acceleration in the roll out of wind and solar power infrastructure, combined with an easing of planning procedures. Berlin has earmarked 2% of its territory for wind turbine deployment, while economy minister Robert Habeck suggested the previous Merkel government had </w:t>
                                                </w:r>
                                                <w:hyperlink r:id="rId33" w:tgtFrame="_blank" w:history="1">
                                                  <w:r w:rsidRPr="008148CB">
                                                    <w:rPr>
                                                      <w:rStyle w:val="Hipercze"/>
                                                      <w:rFonts w:ascii="Helvetica" w:hAnsi="Helvetica" w:cs="Helvetica"/>
                                                      <w:color w:val="007C89"/>
                                                      <w:sz w:val="24"/>
                                                      <w:szCs w:val="24"/>
                                                      <w:lang w:val="en-US"/>
                                                    </w:rPr>
                                                    <w:t>“left Germany out in the cold”</w:t>
                                                  </w:r>
                                                </w:hyperlink>
                                                <w:r w:rsidRPr="008148CB">
                                                  <w:rPr>
                                                    <w:rFonts w:ascii="Helvetica" w:hAnsi="Helvetica" w:cs="Helvetica"/>
                                                    <w:color w:val="202020"/>
                                                    <w:sz w:val="24"/>
                                                    <w:szCs w:val="24"/>
                                                    <w:lang w:val="en-US"/>
                                                  </w:rPr>
                                                  <w:t xml:space="preserve"> by failing to curb its dependence on Russia gas. </w:t>
                                                </w:r>
                                              </w:p>
                                              <w:p w14:paraId="13240BA5"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 xml:space="preserve">Now Hungary – which the European Parliament’s civil liberties committee </w:t>
                                                </w:r>
                                                <w:hyperlink r:id="rId34" w:tgtFrame="_blank" w:history="1">
                                                  <w:r w:rsidRPr="008148CB">
                                                    <w:rPr>
                                                      <w:rStyle w:val="Hipercze"/>
                                                      <w:rFonts w:ascii="Helvetica" w:hAnsi="Helvetica" w:cs="Helvetica"/>
                                                      <w:color w:val="007C89"/>
                                                      <w:sz w:val="24"/>
                                                      <w:szCs w:val="24"/>
                                                      <w:lang w:val="en-US"/>
                                                    </w:rPr>
                                                    <w:t>this week dubbed</w:t>
                                                  </w:r>
                                                </w:hyperlink>
                                                <w:r w:rsidRPr="008148CB">
                                                  <w:rPr>
                                                    <w:rFonts w:ascii="Helvetica" w:hAnsi="Helvetica" w:cs="Helvetica"/>
                                                    <w:color w:val="202020"/>
                                                    <w:sz w:val="24"/>
                                                    <w:szCs w:val="24"/>
                                                    <w:lang w:val="en-US"/>
                                                  </w:rPr>
                                                  <w:t xml:space="preserve"> a “hybrid regime of electoral autocracy” – has just produced a </w:t>
                                                </w:r>
                                                <w:hyperlink r:id="rId35" w:tgtFrame="_blank" w:history="1">
                                                  <w:r w:rsidRPr="008148CB">
                                                    <w:rPr>
                                                      <w:rStyle w:val="Hipercze"/>
                                                      <w:rFonts w:ascii="Helvetica" w:hAnsi="Helvetica" w:cs="Helvetica"/>
                                                      <w:color w:val="007C89"/>
                                                      <w:sz w:val="24"/>
                                                      <w:szCs w:val="24"/>
                                                      <w:lang w:val="en-US"/>
                                                    </w:rPr>
                                                    <w:t>seven-point energy security action plan</w:t>
                                                  </w:r>
                                                </w:hyperlink>
                                                <w:r w:rsidRPr="008148CB">
                                                  <w:rPr>
                                                    <w:rFonts w:ascii="Helvetica" w:hAnsi="Helvetica" w:cs="Helvetica"/>
                                                    <w:color w:val="202020"/>
                                                    <w:sz w:val="24"/>
                                                    <w:szCs w:val="24"/>
                                                    <w:lang w:val="en-US"/>
                                                  </w:rPr>
                                                  <w:t xml:space="preserve">. Budapest envisages ramping up its </w:t>
                                                </w:r>
                                                <w:r w:rsidRPr="008148CB">
                                                  <w:rPr>
                                                    <w:rFonts w:ascii="Helvetica" w:hAnsi="Helvetica" w:cs="Helvetica"/>
                                                    <w:color w:val="202020"/>
                                                    <w:sz w:val="24"/>
                                                    <w:szCs w:val="24"/>
                                                    <w:lang w:val="en-US"/>
                                                  </w:rPr>
                                                  <w:lastRenderedPageBreak/>
                                                  <w:t xml:space="preserve">modest domestic gas production by a third to two billion cubic metres a year, and restarting mothballed lignite units at the </w:t>
                                                </w:r>
                                                <w:hyperlink r:id="rId36" w:tgtFrame="_blank" w:history="1">
                                                  <w:r w:rsidRPr="008148CB">
                                                    <w:rPr>
                                                      <w:rStyle w:val="Hipercze"/>
                                                      <w:rFonts w:ascii="Helvetica" w:hAnsi="Helvetica" w:cs="Helvetica"/>
                                                      <w:color w:val="007C89"/>
                                                      <w:sz w:val="24"/>
                                                      <w:szCs w:val="24"/>
                                                      <w:lang w:val="en-US"/>
                                                    </w:rPr>
                                                    <w:t>Mátra power plant</w:t>
                                                  </w:r>
                                                </w:hyperlink>
                                                <w:r w:rsidRPr="008148CB">
                                                  <w:rPr>
                                                    <w:rFonts w:ascii="Helvetica" w:hAnsi="Helvetica" w:cs="Helvetica"/>
                                                    <w:color w:val="202020"/>
                                                    <w:sz w:val="24"/>
                                                    <w:szCs w:val="24"/>
                                                    <w:lang w:val="en-US"/>
                                                  </w:rPr>
                                                  <w:t xml:space="preserve"> – the country’s second largest, alongside measures to boost domestic lignite production. The government’s intentions remain unclear with only public pronouncements to go on, although it said the 2030 coal phase-out date had not changed. </w:t>
                                                </w:r>
                                              </w:p>
                                              <w:p w14:paraId="68DF7EC6"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 xml:space="preserve">The campaign alliance Europe Beyond Coal this week said the “smattering” of plans to ramp up of coal-fired power generation, </w:t>
                                                </w:r>
                                                <w:hyperlink r:id="rId37" w:tgtFrame="_blank" w:history="1">
                                                  <w:r w:rsidRPr="008148CB">
                                                    <w:rPr>
                                                      <w:rStyle w:val="Hipercze"/>
                                                      <w:rFonts w:ascii="Helvetica" w:hAnsi="Helvetica" w:cs="Helvetica"/>
                                                      <w:color w:val="007C89"/>
                                                      <w:sz w:val="24"/>
                                                      <w:szCs w:val="24"/>
                                                      <w:lang w:val="en-US"/>
                                                    </w:rPr>
                                                    <w:t>also seen in Germany</w:t>
                                                  </w:r>
                                                </w:hyperlink>
                                                <w:r w:rsidRPr="008148CB">
                                                  <w:rPr>
                                                    <w:rFonts w:ascii="Helvetica" w:hAnsi="Helvetica" w:cs="Helvetica"/>
                                                    <w:color w:val="202020"/>
                                                    <w:sz w:val="24"/>
                                                    <w:szCs w:val="24"/>
                                                    <w:lang w:val="en-US"/>
                                                  </w:rPr>
                                                  <w:t>, Austria and the Netherlands, France and Greece, was no great cause for concern – more a consequence, again, of a failure to transition more rapidly to clean energy. </w:t>
                                                </w:r>
                                              </w:p>
                                              <w:p w14:paraId="610F56DB"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“It’s right that there is widespread dismay at coal rearing its ugly head, but we should not sensationalise what’s happening here: coal remains in terminal, structural decline,” said German campaigner with the group Fabian Hübner. “The German government has accompanied its emergency measures with repeated assurances that it is committed to exiting coal in 2030, and its plan to generate 80% of its electricity from renewables by 2030 is now law.” </w:t>
                                                </w:r>
                                              </w:p>
                                              <w:p w14:paraId="2484031A"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Another point in the Hungarian plan, extending the operation of the Paks nuclear complex – the country’s largest power plant by far – is not really news: the</w:t>
                                                </w:r>
                                                <w:hyperlink r:id="rId38" w:tgtFrame="_blank" w:history="1">
                                                  <w:r w:rsidRPr="008148CB">
                                                    <w:rPr>
                                                      <w:rStyle w:val="Hipercze"/>
                                                      <w:rFonts w:ascii="Helvetica" w:hAnsi="Helvetica" w:cs="Helvetica"/>
                                                      <w:color w:val="007C89"/>
                                                      <w:sz w:val="24"/>
                                                      <w:szCs w:val="24"/>
                                                      <w:lang w:val="en-US"/>
                                                    </w:rPr>
                                                    <w:t xml:space="preserve"> EU approved state support in 2017</w:t>
                                                  </w:r>
                                                </w:hyperlink>
                                                <w:r w:rsidRPr="008148CB">
                                                  <w:rPr>
                                                    <w:rFonts w:ascii="Helvetica" w:hAnsi="Helvetica" w:cs="Helvetica"/>
                                                    <w:color w:val="202020"/>
                                                    <w:sz w:val="24"/>
                                                    <w:szCs w:val="24"/>
                                                    <w:lang w:val="en-US"/>
                                                  </w:rPr>
                                                  <w:t>, some years after prime minister Viktor Orbán secured a Russian loan to cover 80% of the costs of paying Russian firm Rosatom to build new units on the banks of the Danube. </w:t>
                                                </w:r>
                                              </w:p>
                                              <w:p w14:paraId="7777B35D"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Outlining the plan on Wednesday, Orbán’s chief of staff Gergely Gulyás also announced an export ban on ‘energy carriers’ – so oil, gas and coal – and firewood. In addition, an election winning 11-year price cap on domestic energy bills will no longer apply to any electricity or gas consumption in excess of the national average. Aware as any politician of the sensitivity of the issue, Gulyás stressed this would only affect one in four households. </w:t>
                                                </w:r>
                                              </w:p>
                                              <w:p w14:paraId="4628FC75"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It could, nevertheless, potentially lead to reduced consumption, something the REPowerEU plan is intended to do, and something the</w:t>
                                                </w:r>
                                                <w:hyperlink r:id="rId39" w:tgtFrame="_blank" w:history="1">
                                                  <w:r w:rsidRPr="008148CB">
                                                    <w:rPr>
                                                      <w:rStyle w:val="Hipercze"/>
                                                      <w:rFonts w:ascii="Helvetica" w:hAnsi="Helvetica" w:cs="Helvetica"/>
                                                      <w:color w:val="007C89"/>
                                                      <w:sz w:val="24"/>
                                                      <w:szCs w:val="24"/>
                                                      <w:lang w:val="en-US"/>
                                                    </w:rPr>
                                                    <w:t xml:space="preserve"> IEA has been urging</w:t>
                                                  </w:r>
                                                </w:hyperlink>
                                                <w:r w:rsidRPr="008148CB">
                                                  <w:rPr>
                                                    <w:rFonts w:ascii="Helvetica" w:hAnsi="Helvetica" w:cs="Helvetica"/>
                                                    <w:color w:val="202020"/>
                                                    <w:sz w:val="24"/>
                                                    <w:szCs w:val="24"/>
                                                    <w:lang w:val="en-US"/>
                                                  </w:rPr>
                                                  <w:t xml:space="preserve"> since the earliest days of the war. But there are also loud voices in Brussels calling for ballooning energy price rises to be addressed by capping prices, or reducing taxes – measures likely to increase demand, or at least limit its fall. </w:t>
                                                </w:r>
                                              </w:p>
                                              <w:p w14:paraId="2D69F025"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lastRenderedPageBreak/>
                                                  <w:t xml:space="preserve">The European Peoples’ Party has been calling for a fuel tax holiday to help ‘hard working’ citizens </w:t>
                                                </w:r>
                                                <w:hyperlink r:id="rId40" w:tgtFrame="_blank" w:history="1">
                                                  <w:r w:rsidRPr="008148CB">
                                                    <w:rPr>
                                                      <w:rStyle w:val="Hipercze"/>
                                                      <w:rFonts w:ascii="Helvetica" w:hAnsi="Helvetica" w:cs="Helvetica"/>
                                                      <w:color w:val="007C89"/>
                                                      <w:sz w:val="24"/>
                                                      <w:szCs w:val="24"/>
                                                      <w:lang w:val="en-US"/>
                                                    </w:rPr>
                                                    <w:t>explore Europe</w:t>
                                                  </w:r>
                                                </w:hyperlink>
                                                <w:r w:rsidRPr="008148CB">
                                                  <w:rPr>
                                                    <w:rFonts w:ascii="Helvetica" w:hAnsi="Helvetica" w:cs="Helvetica"/>
                                                    <w:color w:val="202020"/>
                                                    <w:sz w:val="24"/>
                                                    <w:szCs w:val="24"/>
                                                    <w:lang w:val="en-US"/>
                                                  </w:rPr>
                                                  <w:t xml:space="preserve"> by road and thereby ‘</w:t>
                                                </w:r>
                                                <w:hyperlink r:id="rId41" w:tgtFrame="_blank" w:history="1">
                                                  <w:r w:rsidRPr="008148CB">
                                                    <w:rPr>
                                                      <w:rStyle w:val="Hipercze"/>
                                                      <w:rFonts w:ascii="Helvetica" w:hAnsi="Helvetica" w:cs="Helvetica"/>
                                                      <w:color w:val="007C89"/>
                                                      <w:sz w:val="24"/>
                                                      <w:szCs w:val="24"/>
                                                      <w:lang w:val="en-US"/>
                                                    </w:rPr>
                                                    <w:t>save the summer holidays</w:t>
                                                  </w:r>
                                                </w:hyperlink>
                                                <w:r w:rsidRPr="008148CB">
                                                  <w:rPr>
                                                    <w:rFonts w:ascii="Helvetica" w:hAnsi="Helvetica" w:cs="Helvetica"/>
                                                    <w:color w:val="202020"/>
                                                    <w:sz w:val="24"/>
                                                    <w:szCs w:val="24"/>
                                                    <w:lang w:val="en-US"/>
                                                  </w:rPr>
                                                  <w:t xml:space="preserve">’ from the impact of war next door. Air travel notoriously has always enjoyed a fuel tax holiday, to the eternal chagrin of climate campaigners and irritation of a railway sector </w:t>
                                                </w:r>
                                                <w:hyperlink r:id="rId42" w:tgtFrame="_blank" w:history="1">
                                                  <w:r w:rsidRPr="008148CB">
                                                    <w:rPr>
                                                      <w:rStyle w:val="Hipercze"/>
                                                      <w:rFonts w:ascii="Helvetica" w:hAnsi="Helvetica" w:cs="Helvetica"/>
                                                      <w:color w:val="007C89"/>
                                                      <w:sz w:val="24"/>
                                                      <w:szCs w:val="24"/>
                                                      <w:lang w:val="en-US"/>
                                                    </w:rPr>
                                                    <w:t>competing with short-haul airlines</w:t>
                                                  </w:r>
                                                </w:hyperlink>
                                                <w:r w:rsidRPr="008148CB">
                                                  <w:rPr>
                                                    <w:rFonts w:ascii="Helvetica" w:hAnsi="Helvetica" w:cs="Helvetica"/>
                                                    <w:color w:val="202020"/>
                                                    <w:sz w:val="24"/>
                                                    <w:szCs w:val="24"/>
                                                    <w:lang w:val="en-US"/>
                                                  </w:rPr>
                                                  <w:t>. </w:t>
                                                </w:r>
                                              </w:p>
                                              <w:p w14:paraId="542E7489"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 xml:space="preserve">But some member states are taking a different approach. German state-owned rail operator Deutsche Bahn has been busy lately. This month it announced passengers can travel anywhere in the country this summer (and right up to December 2023) for €39.90. This just weeks after a €9 cap on local train services, which the German statistics office </w:t>
                                                </w:r>
                                                <w:hyperlink r:id="rId43" w:tgtFrame="_blank" w:history="1">
                                                  <w:r w:rsidRPr="008148CB">
                                                    <w:rPr>
                                                      <w:rStyle w:val="Hipercze"/>
                                                      <w:rFonts w:ascii="Helvetica" w:hAnsi="Helvetica" w:cs="Helvetica"/>
                                                      <w:color w:val="007C89"/>
                                                      <w:sz w:val="24"/>
                                                      <w:szCs w:val="24"/>
                                                      <w:lang w:val="en-US"/>
                                                    </w:rPr>
                                                    <w:t>credited with</w:t>
                                                  </w:r>
                                                </w:hyperlink>
                                                <w:r w:rsidRPr="008148CB">
                                                  <w:rPr>
                                                    <w:rFonts w:ascii="Helvetica" w:hAnsi="Helvetica" w:cs="Helvetica"/>
                                                    <w:color w:val="202020"/>
                                                    <w:sz w:val="24"/>
                                                    <w:szCs w:val="24"/>
                                                    <w:lang w:val="en-US"/>
                                                  </w:rPr>
                                                  <w:t xml:space="preserve"> a marked increase in rail travel and a moderate decrease in road traffic. Not to be outdone, Spain </w:t>
                                                </w:r>
                                                <w:hyperlink r:id="rId44" w:tgtFrame="_blank" w:history="1">
                                                  <w:r w:rsidRPr="008148CB">
                                                    <w:rPr>
                                                      <w:rStyle w:val="Hipercze"/>
                                                      <w:rFonts w:ascii="Helvetica" w:hAnsi="Helvetica" w:cs="Helvetica"/>
                                                      <w:color w:val="007C89"/>
                                                      <w:sz w:val="24"/>
                                                      <w:szCs w:val="24"/>
                                                      <w:lang w:val="en-US"/>
                                                    </w:rPr>
                                                    <w:t>announced this week</w:t>
                                                  </w:r>
                                                </w:hyperlink>
                                                <w:r w:rsidRPr="008148CB">
                                                  <w:rPr>
                                                    <w:rFonts w:ascii="Helvetica" w:hAnsi="Helvetica" w:cs="Helvetica"/>
                                                    <w:color w:val="202020"/>
                                                    <w:sz w:val="24"/>
                                                    <w:szCs w:val="24"/>
                                                    <w:lang w:val="en-US"/>
                                                  </w:rPr>
                                                  <w:t xml:space="preserve"> that tickets on its national Renfe network – already on sale at half price – </w:t>
                                                </w:r>
                                                <w:hyperlink r:id="rId45" w:tgtFrame="_blank" w:history="1">
                                                  <w:r w:rsidRPr="008148CB">
                                                    <w:rPr>
                                                      <w:rStyle w:val="Hipercze"/>
                                                      <w:rFonts w:ascii="Helvetica" w:hAnsi="Helvetica" w:cs="Helvetica"/>
                                                      <w:color w:val="007C89"/>
                                                      <w:sz w:val="24"/>
                                                      <w:szCs w:val="24"/>
                                                      <w:lang w:val="en-US"/>
                                                    </w:rPr>
                                                    <w:t>will be free for four months</w:t>
                                                  </w:r>
                                                </w:hyperlink>
                                                <w:r w:rsidRPr="008148CB">
                                                  <w:rPr>
                                                    <w:rFonts w:ascii="Helvetica" w:hAnsi="Helvetica" w:cs="Helvetica"/>
                                                    <w:color w:val="202020"/>
                                                    <w:sz w:val="24"/>
                                                    <w:szCs w:val="24"/>
                                                    <w:lang w:val="en-US"/>
                                                  </w:rPr>
                                                  <w:t>, albeit only from September (to be funded partly by a windfall tax on energy firms that have profited from rocketing prices). </w:t>
                                                </w:r>
                                              </w:p>
                                              <w:p w14:paraId="15399559"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 xml:space="preserve">We will doubtless see more of all these sorts of things in the coming months. But it is clear that what the EU is facing as winter approaches, and the Commission </w:t>
                                                </w:r>
                                                <w:hyperlink r:id="rId46" w:tgtFrame="_blank" w:history="1">
                                                  <w:r w:rsidRPr="008148CB">
                                                    <w:rPr>
                                                      <w:rStyle w:val="Hipercze"/>
                                                      <w:rFonts w:ascii="Helvetica" w:hAnsi="Helvetica" w:cs="Helvetica"/>
                                                      <w:color w:val="007C89"/>
                                                      <w:sz w:val="24"/>
                                                      <w:szCs w:val="24"/>
                                                      <w:lang w:val="en-US"/>
                                                    </w:rPr>
                                                    <w:t>has acknowledged</w:t>
                                                  </w:r>
                                                </w:hyperlink>
                                                <w:r w:rsidRPr="008148CB">
                                                  <w:rPr>
                                                    <w:rFonts w:ascii="Helvetica" w:hAnsi="Helvetica" w:cs="Helvetica"/>
                                                    <w:color w:val="202020"/>
                                                    <w:sz w:val="24"/>
                                                    <w:szCs w:val="24"/>
                                                    <w:lang w:val="en-US"/>
                                                  </w:rPr>
                                                  <w:t xml:space="preserve">, is not so much a problem of demand for holiday petrol tempered by high prices, but the very real prospect of gas shortages. Vice-president Frans Timmermans is due to present next Wednesday a ‘winter preparedness’ energy plan, which will advise governments on how to nudge citizens into turning the thermostat down (we’ve been officially assured they </w:t>
                                                </w:r>
                                                <w:hyperlink r:id="rId47" w:tgtFrame="_blank" w:history="1">
                                                  <w:r w:rsidRPr="008148CB">
                                                    <w:rPr>
                                                      <w:rStyle w:val="Hipercze"/>
                                                      <w:rFonts w:ascii="Helvetica" w:hAnsi="Helvetica" w:cs="Helvetica"/>
                                                      <w:color w:val="007C89"/>
                                                      <w:sz w:val="24"/>
                                                      <w:szCs w:val="24"/>
                                                      <w:lang w:val="en-US"/>
                                                    </w:rPr>
                                                    <w:t>won’t be monitoring our showering habits</w:t>
                                                  </w:r>
                                                </w:hyperlink>
                                                <w:r w:rsidRPr="008148CB">
                                                  <w:rPr>
                                                    <w:rFonts w:ascii="Helvetica" w:hAnsi="Helvetica" w:cs="Helvetica"/>
                                                    <w:color w:val="202020"/>
                                                    <w:sz w:val="24"/>
                                                    <w:szCs w:val="24"/>
                                                    <w:lang w:val="en-US"/>
                                                  </w:rPr>
                                                  <w:t>). Leaks suggest it will also detail ways to restrict supply if all else fails. </w:t>
                                                </w:r>
                                              </w:p>
                                              <w:p w14:paraId="5D23282F"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 </w:t>
                                                </w:r>
                                                <w:r w:rsidRPr="008148CB">
                                                  <w:rPr>
                                                    <w:rFonts w:ascii="Helvetica" w:hAnsi="Helvetica" w:cs="Helvetica"/>
                                                    <w:color w:val="202020"/>
                                                    <w:sz w:val="24"/>
                                                    <w:szCs w:val="24"/>
                                                    <w:lang w:val="en-US"/>
                                                  </w:rPr>
                                                  <w:br/>
                                                </w:r>
                                                <w:r w:rsidRPr="008148CB">
                                                  <w:rPr>
                                                    <w:rStyle w:val="Pogrubienie"/>
                                                    <w:rFonts w:ascii="Helvetica" w:hAnsi="Helvetica" w:cs="Helvetica"/>
                                                    <w:color w:val="202020"/>
                                                    <w:sz w:val="24"/>
                                                    <w:szCs w:val="24"/>
                                                    <w:lang w:val="en-US"/>
                                                  </w:rPr>
                                                  <w:t>AGENCE EUROPE</w:t>
                                                </w:r>
                                              </w:p>
                                              <w:p w14:paraId="28C97D66"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Style w:val="Pogrubienie"/>
                                                    <w:rFonts w:ascii="Helvetica" w:hAnsi="Helvetica" w:cs="Helvetica"/>
                                                    <w:color w:val="202020"/>
                                                    <w:sz w:val="24"/>
                                                    <w:szCs w:val="24"/>
                                                    <w:lang w:val="en-US"/>
                                                  </w:rPr>
                                                  <w:t>Czech Presidency of EU Council proposes new methodology for energy performance standards of buildings </w:t>
                                                </w:r>
                                              </w:p>
                                              <w:p w14:paraId="54DC823A"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 xml:space="preserve">The Czech Presidency of the Council of the European Union proposed to the Member States to establish a new methodology for defining minimum energy performance standards for buildings, on Wednesday 13 July, in a new draft </w:t>
                                                </w:r>
                                                <w:r w:rsidRPr="008148CB">
                                                  <w:rPr>
                                                    <w:rFonts w:ascii="Helvetica" w:hAnsi="Helvetica" w:cs="Helvetica"/>
                                                    <w:color w:val="202020"/>
                                                    <w:sz w:val="24"/>
                                                    <w:szCs w:val="24"/>
                                                    <w:lang w:val="en-US"/>
                                                  </w:rPr>
                                                  <w:lastRenderedPageBreak/>
                                                  <w:t>compromise (the second) on the revision of the relevant EU directive (EPBD - 2018/844). </w:t>
                                                </w:r>
                                              </w:p>
                                              <w:p w14:paraId="2A7CD28C"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In its proposal to revise the EPBD, the European Commission plans to introduce EU-wide minimum energy performance standards for the 15% of buildings identified by each Member State as the worst performing in their building stock (G-index). </w:t>
                                                </w:r>
                                              </w:p>
                                              <w:p w14:paraId="11A618C8"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 xml:space="preserve">Public and non-residential buildings should be renovated and upgraded to at least energy performance level F by 2027, and at least level E by 2030. Residential buildings should be retrofitted from G to at least F by 2030, and to at least E by 2033 (see EUROPE </w:t>
                                                </w:r>
                                                <w:hyperlink r:id="rId48" w:tgtFrame="_blank" w:history="1">
                                                  <w:r w:rsidRPr="008148CB">
                                                    <w:rPr>
                                                      <w:rStyle w:val="Hipercze"/>
                                                      <w:rFonts w:ascii="Helvetica" w:hAnsi="Helvetica" w:cs="Helvetica"/>
                                                      <w:color w:val="007C89"/>
                                                      <w:sz w:val="24"/>
                                                      <w:szCs w:val="24"/>
                                                      <w:lang w:val="en-US"/>
                                                    </w:rPr>
                                                    <w:t>B12854A13</w:t>
                                                  </w:r>
                                                </w:hyperlink>
                                                <w:r w:rsidRPr="008148CB">
                                                  <w:rPr>
                                                    <w:rFonts w:ascii="Helvetica" w:hAnsi="Helvetica" w:cs="Helvetica"/>
                                                    <w:color w:val="202020"/>
                                                    <w:sz w:val="24"/>
                                                    <w:szCs w:val="24"/>
                                                    <w:lang w:val="en-US"/>
                                                  </w:rPr>
                                                  <w:t>). </w:t>
                                                </w:r>
                                              </w:p>
                                              <w:p w14:paraId="2C1174EB"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Under the Czech approach, Member States would be required to set minimum standards that ensure that non-residential buildings do not exceed certain energy performance thresholds expressed as a numeric indicator of primary energy consumption in kWh per m2 per year (kwh/m2.y).  </w:t>
                                                </w:r>
                                              </w:p>
                                              <w:p w14:paraId="34BF210E"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These energy performance thresholds would be established on the basis of the non-residential building stock at the time of entry into force of this directive. </w:t>
                                                </w:r>
                                              </w:p>
                                              <w:p w14:paraId="2363ED14"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A first threshold would be set so that 15% of the national building stock would be above this threshold (this would correspond to the least energy efficient buildings). A second threshold would be set so that 25% of the national building stock is above this threshold. </w:t>
                                                </w:r>
                                              </w:p>
                                              <w:p w14:paraId="4B8AEDAF"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Member States should then ensure that all non-residential buildings are below the 15% threshold from 2030 and below the 25% threshold from 2034. </w:t>
                                                </w:r>
                                              </w:p>
                                              <w:p w14:paraId="2BCD2F1D"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For residential buildings, EU countries would be required to set minimum energy performance standards for multi-apartment buildings with more than ten building units. </w:t>
                                                </w:r>
                                              </w:p>
                                              <w:p w14:paraId="79952B85"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These standards should be based on a national trajectory for the progressive renovation of the building stock. The trajectory would be expressed as a linear decrease in the average primary energy consumption of the residential building stock (in kWh/(m2.y)) and would indicate the number of buildings to be renovated each year. </w:t>
                                                </w:r>
                                              </w:p>
                                              <w:p w14:paraId="6AB39229"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lastRenderedPageBreak/>
                                                  <w:t>In addition, single-family houses and multi-apartment buildings with ten or fewer building units that are sold, rented or donated after 1 January 2030 should achieve at least energy performance class D or better within 5 years of the sale, rent or donation. </w:t>
                                                </w:r>
                                              </w:p>
                                              <w:p w14:paraId="05FB310D"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In addition, the draft compromise introduces a new article to reinforce the installation of solar panels. </w:t>
                                                </w:r>
                                              </w:p>
                                              <w:p w14:paraId="10956065"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According to this article, appropriate solar energy capacity had to be installed: - on all new public and commercial buildings with a floor area of more than 250 m2 by 2027; - on all existing public and commercial buildings with a floor area of more than 250 m2 by 2028; - on all new residential buildings by 2030. </w:t>
                                                </w:r>
                                              </w:p>
                                              <w:p w14:paraId="4D9FBDA9"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Member States would be required to define national criteria for the practical implementation of these obligations as well as for possible exemptions for specific types of buildings. </w:t>
                                                </w:r>
                                              </w:p>
                                              <w:p w14:paraId="043BD45D"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 xml:space="preserve">See the draft compromise: </w:t>
                                                </w:r>
                                                <w:hyperlink r:id="rId49" w:tgtFrame="_blank" w:history="1">
                                                  <w:r w:rsidRPr="008148CB">
                                                    <w:rPr>
                                                      <w:rStyle w:val="Hipercze"/>
                                                      <w:rFonts w:ascii="Helvetica" w:hAnsi="Helvetica" w:cs="Helvetica"/>
                                                      <w:color w:val="007C89"/>
                                                      <w:sz w:val="24"/>
                                                      <w:szCs w:val="24"/>
                                                      <w:lang w:val="en-US"/>
                                                    </w:rPr>
                                                    <w:t>https://aeur.eu/f/2ny </w:t>
                                                  </w:r>
                                                </w:hyperlink>
                                                <w:r w:rsidRPr="008148CB">
                                                  <w:rPr>
                                                    <w:rFonts w:ascii="Helvetica" w:hAnsi="Helvetica" w:cs="Helvetica"/>
                                                    <w:color w:val="202020"/>
                                                    <w:sz w:val="24"/>
                                                    <w:szCs w:val="24"/>
                                                    <w:lang w:val="en-US"/>
                                                  </w:rPr>
                                                  <w:t xml:space="preserve"> (Original version in French by Damien Genicot) </w:t>
                                                </w:r>
                                                <w:r w:rsidRPr="008148CB">
                                                  <w:rPr>
                                                    <w:rFonts w:ascii="Helvetica" w:hAnsi="Helvetica" w:cs="Helvetica"/>
                                                    <w:color w:val="202020"/>
                                                    <w:sz w:val="24"/>
                                                    <w:szCs w:val="24"/>
                                                    <w:lang w:val="en-US"/>
                                                  </w:rPr>
                                                  <w:br/>
                                                  <w:t>................................................................................................................................................................ </w:t>
                                                </w:r>
                                              </w:p>
                                              <w:p w14:paraId="064EB0B5"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Style w:val="Pogrubienie"/>
                                                    <w:rFonts w:ascii="Helvetica" w:hAnsi="Helvetica" w:cs="Helvetica"/>
                                                    <w:color w:val="202020"/>
                                                    <w:sz w:val="24"/>
                                                    <w:szCs w:val="24"/>
                                                    <w:lang w:val="en-US"/>
                                                  </w:rPr>
                                                  <w:t>MEPs want to aim for 14.5% reduction in EU energy consumption by 2030 </w:t>
                                                </w:r>
                                              </w:p>
                                              <w:p w14:paraId="13DDB6B8"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Brussels, 13/07/2022 (Agence Europe) </w:t>
                                                </w:r>
                                              </w:p>
                                              <w:p w14:paraId="3BB775B4"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On Wednesday 13 July, members of the European Parliament’s Committee on Industry, Research and Energy (ITRE) voted in favour of increasing the EU’s ambition to reduce energy consumption, adopting by a very large majority (50 votes in favour, 7 against and 13 abstentions) the draft report by Niels Fuglsang (S&amp;D, Danish) on the revision of the EU directive (2018/2002) on energy efficiency (EED). </w:t>
                                                </w:r>
                                              </w:p>
                                              <w:p w14:paraId="082B5176"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MEPs want to aim for a 14.5% reduction in energy consumption in the EU by 2030 compared to the 2020 baseline projection (a projection of where current EU policies, combined with market trends, are likely to lead). </w:t>
                                                </w:r>
                                              </w:p>
                                              <w:p w14:paraId="00E0D1E5"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 xml:space="preserve">This is an increase of 5.5 percentage points (pp) compared to the target originally foreseen in the revision of the Directive (see EUROPE </w:t>
                                                </w:r>
                                                <w:hyperlink r:id="rId50" w:tgtFrame="_blank" w:history="1">
                                                  <w:r w:rsidRPr="008148CB">
                                                    <w:rPr>
                                                      <w:rStyle w:val="Hipercze"/>
                                                      <w:rFonts w:ascii="Helvetica" w:hAnsi="Helvetica" w:cs="Helvetica"/>
                                                      <w:color w:val="007C89"/>
                                                      <w:sz w:val="24"/>
                                                      <w:szCs w:val="24"/>
                                                      <w:lang w:val="en-US"/>
                                                    </w:rPr>
                                                    <w:t>B12762A8</w:t>
                                                  </w:r>
                                                </w:hyperlink>
                                                <w:r w:rsidRPr="008148CB">
                                                  <w:rPr>
                                                    <w:rFonts w:ascii="Helvetica" w:hAnsi="Helvetica" w:cs="Helvetica"/>
                                                    <w:color w:val="202020"/>
                                                    <w:sz w:val="24"/>
                                                    <w:szCs w:val="24"/>
                                                    <w:lang w:val="en-US"/>
                                                  </w:rPr>
                                                  <w:t xml:space="preserve">) and 1.5 pp </w:t>
                                                </w:r>
                                                <w:r w:rsidRPr="008148CB">
                                                  <w:rPr>
                                                    <w:rFonts w:ascii="Helvetica" w:hAnsi="Helvetica" w:cs="Helvetica"/>
                                                    <w:color w:val="202020"/>
                                                    <w:sz w:val="24"/>
                                                    <w:szCs w:val="24"/>
                                                    <w:lang w:val="en-US"/>
                                                  </w:rPr>
                                                  <w:lastRenderedPageBreak/>
                                                  <w:t xml:space="preserve">compared to the target proposed by the European Commission in response to the Russian invasion of Ukraine (see EUROPE </w:t>
                                                </w:r>
                                                <w:hyperlink r:id="rId51" w:tgtFrame="_blank" w:history="1">
                                                  <w:r w:rsidRPr="008148CB">
                                                    <w:rPr>
                                                      <w:rStyle w:val="Hipercze"/>
                                                      <w:rFonts w:ascii="Helvetica" w:hAnsi="Helvetica" w:cs="Helvetica"/>
                                                      <w:color w:val="007C89"/>
                                                      <w:sz w:val="24"/>
                                                      <w:szCs w:val="24"/>
                                                      <w:lang w:val="en-US"/>
                                                    </w:rPr>
                                                    <w:t>B12955A4</w:t>
                                                  </w:r>
                                                </w:hyperlink>
                                                <w:r w:rsidRPr="008148CB">
                                                  <w:rPr>
                                                    <w:rFonts w:ascii="Helvetica" w:hAnsi="Helvetica" w:cs="Helvetica"/>
                                                    <w:color w:val="202020"/>
                                                    <w:sz w:val="24"/>
                                                    <w:szCs w:val="24"/>
                                                    <w:lang w:val="en-US"/>
                                                  </w:rPr>
                                                  <w:t>). </w:t>
                                                </w:r>
                                              </w:p>
                                              <w:p w14:paraId="4BE0F03E"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However, this increased target does not appear in the text approved by MEPs, as they preferred to set the target on the basis of the previously used baseline scenario, i.e. from 2007, in order to take into account the progress already made by the Member States. </w:t>
                                                </w:r>
                                              </w:p>
                                              <w:p w14:paraId="0F6D6141"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The EU energy efficiency targets for 2030 in the draft report are actually 42.5% for primary energy consumption and 40% for final energy consumption, compared to 39% and 36% in the Commission’s original proposal. Current legislation sets this target at 32.5% (without distinguishing between primary and final energy consumption). </w:t>
                                                </w:r>
                                              </w:p>
                                              <w:p w14:paraId="7238BAAD"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By adopting the package of compromise amendments negotiated between the EPP, S&amp;D, Renew Europe and Greens/EFA political groups, MEPs also propose to make Member States’ national contributions to the collective EU target binding, as well as setting interim national targets in 2025 and 2027. </w:t>
                                                </w:r>
                                              </w:p>
                                              <w:p w14:paraId="055E644E"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 xml:space="preserve">These amendments, previously detailed by us (see EUROPE </w:t>
                                                </w:r>
                                                <w:hyperlink r:id="rId52" w:tgtFrame="_blank" w:history="1">
                                                  <w:r w:rsidRPr="008148CB">
                                                    <w:rPr>
                                                      <w:rStyle w:val="Hipercze"/>
                                                      <w:rFonts w:ascii="Helvetica" w:hAnsi="Helvetica" w:cs="Helvetica"/>
                                                      <w:color w:val="007C89"/>
                                                      <w:sz w:val="24"/>
                                                      <w:szCs w:val="24"/>
                                                      <w:lang w:val="en-US"/>
                                                    </w:rPr>
                                                    <w:t>B12985A1</w:t>
                                                  </w:r>
                                                </w:hyperlink>
                                                <w:r w:rsidRPr="008148CB">
                                                  <w:rPr>
                                                    <w:rFonts w:ascii="Helvetica" w:hAnsi="Helvetica" w:cs="Helvetica"/>
                                                    <w:color w:val="202020"/>
                                                    <w:sz w:val="24"/>
                                                    <w:szCs w:val="24"/>
                                                    <w:lang w:val="en-US"/>
                                                  </w:rPr>
                                                  <w:t>), also allow for the following: - an increase of the target for the public sector; - the inclusion of social buildings in the obligation to renovate public buildings, while providing for the possibility of a derogation; - an increase in the energy savings obligation; - the introduction of a new chapter on data centres; - the revision of the criteria for defining an ‘efficient’ district heating and cooling system; - the strengthening of the application of the ‘energy efficiency first principle’; - the establishment of ‘European sectoral energy efficiency partnerships’; - amendments to the criteria for the obligation to have an energy management system or to carry out energy audits. </w:t>
                                                </w:r>
                                              </w:p>
                                              <w:p w14:paraId="113AB5B8" w14:textId="77777777" w:rsidR="008148CB" w:rsidRPr="008148CB" w:rsidRDefault="008148CB" w:rsidP="008148CB">
                                                <w:pPr>
                                                  <w:spacing w:before="150" w:after="150" w:line="360" w:lineRule="auto"/>
                                                  <w:jc w:val="both"/>
                                                  <w:rPr>
                                                    <w:rFonts w:ascii="Helvetica" w:hAnsi="Helvetica" w:cs="Helvetica"/>
                                                    <w:color w:val="202020"/>
                                                    <w:sz w:val="24"/>
                                                    <w:szCs w:val="24"/>
                                                    <w:lang w:val="en-US"/>
                                                  </w:rPr>
                                                </w:pPr>
                                                <w:r w:rsidRPr="008148CB">
                                                  <w:rPr>
                                                    <w:rFonts w:ascii="Helvetica" w:hAnsi="Helvetica" w:cs="Helvetica"/>
                                                    <w:color w:val="202020"/>
                                                    <w:sz w:val="24"/>
                                                    <w:szCs w:val="24"/>
                                                    <w:lang w:val="en-US"/>
                                                  </w:rPr>
                                                  <w:t>Regarding energy savings, the amended draft report states that a quarter of the annual 2% target (i.e. 0.5%) can be achieved with fossil-based solutions until mid-2028. </w:t>
                                                </w:r>
                                              </w:p>
                                              <w:p w14:paraId="1459FBDC" w14:textId="77777777" w:rsidR="008148CB" w:rsidRDefault="008148CB" w:rsidP="008148CB">
                                                <w:pPr>
                                                  <w:spacing w:before="150" w:after="150" w:line="360" w:lineRule="auto"/>
                                                  <w:jc w:val="both"/>
                                                  <w:rPr>
                                                    <w:rFonts w:ascii="Helvetica" w:hAnsi="Helvetica" w:cs="Helvetica"/>
                                                    <w:color w:val="202020"/>
                                                    <w:sz w:val="24"/>
                                                    <w:szCs w:val="24"/>
                                                  </w:rPr>
                                                </w:pPr>
                                                <w:r>
                                                  <w:rPr>
                                                    <w:rFonts w:ascii="Helvetica" w:hAnsi="Helvetica" w:cs="Helvetica"/>
                                                    <w:color w:val="202020"/>
                                                    <w:sz w:val="24"/>
                                                    <w:szCs w:val="24"/>
                                                  </w:rPr>
                                                  <w:t>After this date, 100% of energy savings must be achieved by renewable means. </w:t>
                                                </w:r>
                                              </w:p>
                                              <w:p w14:paraId="5B1FDA3F" w14:textId="77777777" w:rsidR="008148CB" w:rsidRDefault="008148CB" w:rsidP="008148CB">
                                                <w:pPr>
                                                  <w:spacing w:before="150" w:after="150" w:line="360" w:lineRule="auto"/>
                                                  <w:jc w:val="both"/>
                                                  <w:rPr>
                                                    <w:rFonts w:ascii="Helvetica" w:hAnsi="Helvetica" w:cs="Helvetica"/>
                                                    <w:color w:val="202020"/>
                                                    <w:sz w:val="24"/>
                                                    <w:szCs w:val="24"/>
                                                  </w:rPr>
                                                </w:pPr>
                                                <w:r>
                                                  <w:rPr>
                                                    <w:rFonts w:ascii="Helvetica" w:hAnsi="Helvetica" w:cs="Helvetica"/>
                                                    <w:color w:val="202020"/>
                                                    <w:sz w:val="24"/>
                                                    <w:szCs w:val="24"/>
                                                  </w:rPr>
                                                  <w:lastRenderedPageBreak/>
                                                  <w:t>However, “these fossil based energy savings cannot be taken into account when we talk about (...) going from a oil boiler to a gas boiler”, as Fuglsang pointed out during a press conference. </w:t>
                                                </w:r>
                                              </w:p>
                                              <w:p w14:paraId="70048CFC" w14:textId="77777777" w:rsidR="008148CB" w:rsidRDefault="008148CB" w:rsidP="008148CB">
                                                <w:pPr>
                                                  <w:spacing w:before="150" w:after="150" w:line="360" w:lineRule="auto"/>
                                                  <w:jc w:val="both"/>
                                                  <w:rPr>
                                                    <w:rFonts w:ascii="Helvetica" w:hAnsi="Helvetica" w:cs="Helvetica"/>
                                                    <w:color w:val="202020"/>
                                                    <w:sz w:val="24"/>
                                                    <w:szCs w:val="24"/>
                                                  </w:rPr>
                                                </w:pPr>
                                                <w:r>
                                                  <w:rPr>
                                                    <w:rFonts w:ascii="Helvetica" w:hAnsi="Helvetica" w:cs="Helvetica"/>
                                                    <w:color w:val="202020"/>
                                                    <w:sz w:val="24"/>
                                                    <w:szCs w:val="24"/>
                                                  </w:rPr>
                                                  <w:t>The vote for the whole Parliament will take place during the plenary session from 12 to 15 September in Strasbourg. </w:t>
                                                </w:r>
                                              </w:p>
                                              <w:p w14:paraId="79A1812D" w14:textId="77777777" w:rsidR="008148CB" w:rsidRDefault="008148CB" w:rsidP="008148CB">
                                                <w:pPr>
                                                  <w:spacing w:before="150" w:after="150" w:line="360" w:lineRule="auto"/>
                                                  <w:jc w:val="both"/>
                                                  <w:rPr>
                                                    <w:rFonts w:ascii="Helvetica" w:hAnsi="Helvetica" w:cs="Helvetica"/>
                                                    <w:color w:val="202020"/>
                                                    <w:sz w:val="24"/>
                                                    <w:szCs w:val="24"/>
                                                  </w:rPr>
                                                </w:pPr>
                                                <w:r>
                                                  <w:rPr>
                                                    <w:rFonts w:ascii="Helvetica" w:hAnsi="Helvetica" w:cs="Helvetica"/>
                                                    <w:color w:val="202020"/>
                                                    <w:sz w:val="24"/>
                                                    <w:szCs w:val="24"/>
                                                  </w:rPr>
                                                  <w:t xml:space="preserve">See the adopted text: </w:t>
                                                </w:r>
                                                <w:hyperlink r:id="rId53" w:tgtFrame="_blank" w:history="1">
                                                  <w:r>
                                                    <w:rPr>
                                                      <w:rStyle w:val="Hipercze"/>
                                                      <w:rFonts w:ascii="Helvetica" w:hAnsi="Helvetica" w:cs="Helvetica"/>
                                                      <w:color w:val="007C89"/>
                                                      <w:sz w:val="24"/>
                                                      <w:szCs w:val="24"/>
                                                    </w:rPr>
                                                    <w:t>https://aeur.eu/f/2m6 </w:t>
                                                  </w:r>
                                                </w:hyperlink>
                                                <w:r>
                                                  <w:rPr>
                                                    <w:rFonts w:ascii="Helvetica" w:hAnsi="Helvetica" w:cs="Helvetica"/>
                                                    <w:color w:val="202020"/>
                                                    <w:sz w:val="24"/>
                                                    <w:szCs w:val="24"/>
                                                  </w:rPr>
                                                  <w:t xml:space="preserve"> See the results of the vote: </w:t>
                                                </w:r>
                                                <w:hyperlink r:id="rId54" w:tgtFrame="_blank" w:history="1">
                                                  <w:r>
                                                    <w:rPr>
                                                      <w:rStyle w:val="Hipercze"/>
                                                      <w:rFonts w:ascii="Helvetica" w:hAnsi="Helvetica" w:cs="Helvetica"/>
                                                      <w:color w:val="007C89"/>
                                                      <w:sz w:val="24"/>
                                                      <w:szCs w:val="24"/>
                                                    </w:rPr>
                                                    <w:t>https://aeur.eu/f/2mj </w:t>
                                                  </w:r>
                                                </w:hyperlink>
                                                <w:r>
                                                  <w:rPr>
                                                    <w:rFonts w:ascii="Helvetica" w:hAnsi="Helvetica" w:cs="Helvetica"/>
                                                    <w:color w:val="202020"/>
                                                    <w:sz w:val="24"/>
                                                    <w:szCs w:val="24"/>
                                                  </w:rPr>
                                                  <w:t xml:space="preserve"> (Original version in French by Damien Genicot) </w:t>
                                                </w:r>
                                              </w:p>
                                              <w:p w14:paraId="43E58F43" w14:textId="77777777" w:rsidR="008148CB" w:rsidRDefault="008148CB" w:rsidP="008148CB">
                                                <w:pPr>
                                                  <w:spacing w:before="150" w:after="150" w:line="360" w:lineRule="auto"/>
                                                  <w:jc w:val="both"/>
                                                  <w:rPr>
                                                    <w:rFonts w:ascii="Helvetica" w:hAnsi="Helvetica" w:cs="Helvetica"/>
                                                    <w:color w:val="202020"/>
                                                    <w:sz w:val="24"/>
                                                    <w:szCs w:val="24"/>
                                                  </w:rPr>
                                                </w:pPr>
                                                <w:r>
                                                  <w:rPr>
                                                    <w:rFonts w:ascii="Helvetica" w:hAnsi="Helvetica" w:cs="Helvetica"/>
                                                    <w:color w:val="202020"/>
                                                    <w:sz w:val="24"/>
                                                    <w:szCs w:val="24"/>
                                                  </w:rPr>
                                                  <w:t>............................................................................................................................................................... </w:t>
                                                </w:r>
                                              </w:p>
                                              <w:p w14:paraId="58B5D72D" w14:textId="77777777" w:rsidR="008148CB" w:rsidRDefault="008148CB" w:rsidP="008148CB">
                                                <w:pPr>
                                                  <w:spacing w:before="150" w:after="150" w:line="360" w:lineRule="auto"/>
                                                  <w:jc w:val="both"/>
                                                  <w:rPr>
                                                    <w:rFonts w:ascii="Helvetica" w:hAnsi="Helvetica" w:cs="Helvetica"/>
                                                    <w:color w:val="202020"/>
                                                    <w:sz w:val="24"/>
                                                    <w:szCs w:val="24"/>
                                                  </w:rPr>
                                                </w:pPr>
                                                <w:r>
                                                  <w:rPr>
                                                    <w:rStyle w:val="Pogrubienie"/>
                                                    <w:rFonts w:ascii="Helvetica" w:hAnsi="Helvetica" w:cs="Helvetica"/>
                                                    <w:color w:val="202020"/>
                                                    <w:sz w:val="24"/>
                                                    <w:szCs w:val="24"/>
                                                  </w:rPr>
                                                  <w:t>Inter-institutional negotiations start on CBAM and revision of European carbon market </w:t>
                                                </w:r>
                                              </w:p>
                                              <w:p w14:paraId="530CD162" w14:textId="77777777" w:rsidR="008148CB" w:rsidRDefault="008148CB" w:rsidP="008148CB">
                                                <w:pPr>
                                                  <w:spacing w:before="150" w:after="150" w:line="360" w:lineRule="auto"/>
                                                  <w:jc w:val="both"/>
                                                  <w:rPr>
                                                    <w:rFonts w:ascii="Helvetica" w:hAnsi="Helvetica" w:cs="Helvetica"/>
                                                    <w:color w:val="202020"/>
                                                    <w:sz w:val="24"/>
                                                    <w:szCs w:val="24"/>
                                                  </w:rPr>
                                                </w:pPr>
                                                <w:r>
                                                  <w:rPr>
                                                    <w:rFonts w:ascii="Helvetica" w:hAnsi="Helvetica" w:cs="Helvetica"/>
                                                    <w:color w:val="202020"/>
                                                    <w:sz w:val="24"/>
                                                    <w:szCs w:val="24"/>
                                                  </w:rPr>
                                                  <w:t>Brussels, 11/07/2022 (Agence Europe) </w:t>
                                                </w:r>
                                              </w:p>
                                              <w:p w14:paraId="2DC975FE" w14:textId="77777777" w:rsidR="008148CB" w:rsidRDefault="008148CB" w:rsidP="008148CB">
                                                <w:pPr>
                                                  <w:spacing w:before="150" w:after="150" w:line="360" w:lineRule="auto"/>
                                                  <w:jc w:val="both"/>
                                                  <w:rPr>
                                                    <w:rFonts w:ascii="Helvetica" w:hAnsi="Helvetica" w:cs="Helvetica"/>
                                                    <w:color w:val="202020"/>
                                                    <w:sz w:val="24"/>
                                                    <w:szCs w:val="24"/>
                                                  </w:rPr>
                                                </w:pPr>
                                                <w:r>
                                                  <w:rPr>
                                                    <w:rFonts w:ascii="Helvetica" w:hAnsi="Helvetica" w:cs="Helvetica"/>
                                                    <w:color w:val="202020"/>
                                                    <w:sz w:val="24"/>
                                                    <w:szCs w:val="24"/>
                                                  </w:rPr>
                                                  <w:t>The first of a potentially long series of inter-institutional meetings (‘trilogues’) was held on Monday 11 July on the Carbon Border Adjustment Mechanism (CBAM). “The upcoming negotiations will be intense”, warned EU Taxation Commissioner Paolo Gentiloni. The first meeting, which lasted for just one hour, allowed the institutions to present their positions and identify issues to be delegated to the technical level, according to one source. </w:t>
                                                </w:r>
                                              </w:p>
                                              <w:p w14:paraId="24C05F80" w14:textId="77777777" w:rsidR="008148CB" w:rsidRDefault="008148CB" w:rsidP="008148CB">
                                                <w:pPr>
                                                  <w:spacing w:before="150" w:after="150" w:line="360" w:lineRule="auto"/>
                                                  <w:jc w:val="both"/>
                                                  <w:rPr>
                                                    <w:rFonts w:ascii="Helvetica" w:hAnsi="Helvetica" w:cs="Helvetica"/>
                                                    <w:color w:val="202020"/>
                                                    <w:sz w:val="24"/>
                                                    <w:szCs w:val="24"/>
                                                  </w:rPr>
                                                </w:pPr>
                                                <w:r>
                                                  <w:rPr>
                                                    <w:rFonts w:ascii="Helvetica" w:hAnsi="Helvetica" w:cs="Helvetica"/>
                                                    <w:color w:val="202020"/>
                                                    <w:sz w:val="24"/>
                                                    <w:szCs w:val="24"/>
                                                  </w:rPr>
                                                  <w:t>A second political trilogue is not expected to take place before the end of September, according to this source, while technical meetings are expected to be held this summer. Paolo Gentiloni has indicated that he wants to reach an agreement by the end of the year, so that the CBAM in its transitional form can enter into force in early 2023. </w:t>
                                                </w:r>
                                              </w:p>
                                              <w:p w14:paraId="031C7D42" w14:textId="77777777" w:rsidR="008148CB" w:rsidRDefault="008148CB" w:rsidP="008148CB">
                                                <w:pPr>
                                                  <w:spacing w:before="150" w:after="150" w:line="360" w:lineRule="auto"/>
                                                  <w:jc w:val="both"/>
                                                  <w:rPr>
                                                    <w:rFonts w:ascii="Helvetica" w:hAnsi="Helvetica" w:cs="Helvetica"/>
                                                    <w:color w:val="202020"/>
                                                    <w:sz w:val="24"/>
                                                    <w:szCs w:val="24"/>
                                                  </w:rPr>
                                                </w:pPr>
                                                <w:r>
                                                  <w:rPr>
                                                    <w:rFonts w:ascii="Helvetica" w:hAnsi="Helvetica" w:cs="Helvetica"/>
                                                    <w:color w:val="202020"/>
                                                    <w:sz w:val="24"/>
                                                    <w:szCs w:val="24"/>
                                                  </w:rPr>
                                                  <w:t xml:space="preserve">The European Council and the Parliament have the difficult task of agreeing on the phasing out of free emission allowances for the sectors covered by the CBAM. The Member States are in favour of a complete phase-out in 2036 (see EUROPE </w:t>
                                                </w:r>
                                                <w:hyperlink r:id="rId55" w:tgtFrame="_blank" w:history="1">
                                                  <w:r>
                                                    <w:rPr>
                                                      <w:rStyle w:val="Hipercze"/>
                                                      <w:rFonts w:ascii="Helvetica" w:hAnsi="Helvetica" w:cs="Helvetica"/>
                                                      <w:color w:val="007C89"/>
                                                      <w:sz w:val="24"/>
                                                      <w:szCs w:val="24"/>
                                                    </w:rPr>
                                                    <w:t>B12911A14</w:t>
                                                  </w:r>
                                                </w:hyperlink>
                                                <w:r>
                                                  <w:rPr>
                                                    <w:rFonts w:ascii="Helvetica" w:hAnsi="Helvetica" w:cs="Helvetica"/>
                                                    <w:color w:val="202020"/>
                                                    <w:sz w:val="24"/>
                                                    <w:szCs w:val="24"/>
                                                  </w:rPr>
                                                  <w:t xml:space="preserve">), while the European Parliament advocates an end to these free quotas in 2032 (see EUROPE </w:t>
                                                </w:r>
                                                <w:hyperlink r:id="rId56" w:tgtFrame="_blank" w:history="1">
                                                  <w:r>
                                                    <w:rPr>
                                                      <w:rStyle w:val="Hipercze"/>
                                                      <w:rFonts w:ascii="Helvetica" w:hAnsi="Helvetica" w:cs="Helvetica"/>
                                                      <w:color w:val="007C89"/>
                                                      <w:sz w:val="24"/>
                                                      <w:szCs w:val="24"/>
                                                    </w:rPr>
                                                    <w:t>B12977A12</w:t>
                                                  </w:r>
                                                </w:hyperlink>
                                                <w:r>
                                                  <w:rPr>
                                                    <w:rFonts w:ascii="Helvetica" w:hAnsi="Helvetica" w:cs="Helvetica"/>
                                                    <w:color w:val="202020"/>
                                                    <w:sz w:val="24"/>
                                                    <w:szCs w:val="24"/>
                                                  </w:rPr>
                                                  <w:t>).  </w:t>
                                                </w:r>
                                              </w:p>
                                              <w:p w14:paraId="76FDF296" w14:textId="77777777" w:rsidR="008148CB" w:rsidRDefault="008148CB" w:rsidP="008148CB">
                                                <w:pPr>
                                                  <w:spacing w:before="150" w:after="150" w:line="360" w:lineRule="auto"/>
                                                  <w:jc w:val="both"/>
                                                  <w:rPr>
                                                    <w:rFonts w:ascii="Helvetica" w:hAnsi="Helvetica" w:cs="Helvetica"/>
                                                    <w:color w:val="202020"/>
                                                    <w:sz w:val="24"/>
                                                    <w:szCs w:val="24"/>
                                                  </w:rPr>
                                                </w:pPr>
                                                <w:r>
                                                  <w:rPr>
                                                    <w:rFonts w:ascii="Helvetica" w:hAnsi="Helvetica" w:cs="Helvetica"/>
                                                    <w:color w:val="202020"/>
                                                    <w:sz w:val="24"/>
                                                    <w:szCs w:val="24"/>
                                                  </w:rPr>
                                                  <w:lastRenderedPageBreak/>
                                                  <w:t>In a new ‘position paper’ published on 11 July, the Europe Jacques Delors think tank has again stressed the need to quickly abolish free allocations of emission allowances.  </w:t>
                                                </w:r>
                                              </w:p>
                                              <w:p w14:paraId="07506BBE" w14:textId="77777777" w:rsidR="008148CB" w:rsidRDefault="008148CB" w:rsidP="008148CB">
                                                <w:pPr>
                                                  <w:spacing w:before="150" w:after="150" w:line="360" w:lineRule="auto"/>
                                                  <w:jc w:val="both"/>
                                                  <w:rPr>
                                                    <w:rFonts w:ascii="Helvetica" w:hAnsi="Helvetica" w:cs="Helvetica"/>
                                                    <w:color w:val="202020"/>
                                                    <w:sz w:val="24"/>
                                                    <w:szCs w:val="24"/>
                                                  </w:rPr>
                                                </w:pPr>
                                                <w:r>
                                                  <w:rPr>
                                                    <w:rFonts w:ascii="Helvetica" w:hAnsi="Helvetica" w:cs="Helvetica"/>
                                                    <w:color w:val="202020"/>
                                                    <w:sz w:val="24"/>
                                                    <w:szCs w:val="24"/>
                                                  </w:rPr>
                                                  <w:t>It also indicates that the export rebates proposed by Parliament for CBAM-affected companies are likely to be challenged by the World Trade Organization (WTO). Again, this is an important point in the discussions where negotiations are likely to be difficult, according to a second source.  </w:t>
                                                </w:r>
                                              </w:p>
                                              <w:p w14:paraId="33421D2F" w14:textId="77777777" w:rsidR="008148CB" w:rsidRDefault="008148CB" w:rsidP="008148CB">
                                                <w:pPr>
                                                  <w:spacing w:before="150" w:after="150" w:line="360" w:lineRule="auto"/>
                                                  <w:jc w:val="both"/>
                                                  <w:rPr>
                                                    <w:rFonts w:ascii="Helvetica" w:hAnsi="Helvetica" w:cs="Helvetica"/>
                                                    <w:color w:val="202020"/>
                                                    <w:sz w:val="24"/>
                                                    <w:szCs w:val="24"/>
                                                  </w:rPr>
                                                </w:pPr>
                                                <w:r>
                                                  <w:rPr>
                                                    <w:rStyle w:val="Uwydatnienie"/>
                                                    <w:rFonts w:ascii="Helvetica" w:hAnsi="Helvetica" w:cs="Helvetica"/>
                                                    <w:color w:val="202020"/>
                                                    <w:sz w:val="24"/>
                                                    <w:szCs w:val="24"/>
                                                  </w:rPr>
                                                  <w:t>Reform of the carbon market is also going to be difficult </w:t>
                                                </w:r>
                                              </w:p>
                                              <w:p w14:paraId="0A6660A8" w14:textId="77777777" w:rsidR="008148CB" w:rsidRDefault="008148CB" w:rsidP="008148CB">
                                                <w:pPr>
                                                  <w:spacing w:before="150" w:after="150" w:line="360" w:lineRule="auto"/>
                                                  <w:jc w:val="both"/>
                                                  <w:rPr>
                                                    <w:rFonts w:ascii="Helvetica" w:hAnsi="Helvetica" w:cs="Helvetica"/>
                                                    <w:color w:val="202020"/>
                                                    <w:sz w:val="24"/>
                                                    <w:szCs w:val="24"/>
                                                  </w:rPr>
                                                </w:pPr>
                                                <w:r>
                                                  <w:rPr>
                                                    <w:rFonts w:ascii="Helvetica" w:hAnsi="Helvetica" w:cs="Helvetica"/>
                                                    <w:color w:val="202020"/>
                                                    <w:sz w:val="24"/>
                                                    <w:szCs w:val="24"/>
                                                  </w:rPr>
                                                  <w:t xml:space="preserve">On the same day, the Parliament and the European Council also started the trilogues on the revision of the EU Emissions Trading System (see EUROPE </w:t>
                                                </w:r>
                                                <w:hyperlink r:id="rId57" w:tgtFrame="_blank" w:history="1">
                                                  <w:r>
                                                    <w:rPr>
                                                      <w:rStyle w:val="Hipercze"/>
                                                      <w:rFonts w:ascii="Helvetica" w:hAnsi="Helvetica" w:cs="Helvetica"/>
                                                      <w:color w:val="007C89"/>
                                                      <w:sz w:val="24"/>
                                                      <w:szCs w:val="24"/>
                                                    </w:rPr>
                                                    <w:t>B12982A6</w:t>
                                                  </w:r>
                                                </w:hyperlink>
                                                <w:r>
                                                  <w:rPr>
                                                    <w:rFonts w:ascii="Helvetica" w:hAnsi="Helvetica" w:cs="Helvetica"/>
                                                    <w:color w:val="202020"/>
                                                    <w:sz w:val="24"/>
                                                    <w:szCs w:val="24"/>
                                                  </w:rPr>
                                                  <w:t xml:space="preserve">, </w:t>
                                                </w:r>
                                                <w:hyperlink r:id="rId58" w:tgtFrame="_blank" w:history="1">
                                                  <w:r>
                                                    <w:rPr>
                                                      <w:rStyle w:val="Hipercze"/>
                                                      <w:rFonts w:ascii="Helvetica" w:hAnsi="Helvetica" w:cs="Helvetica"/>
                                                      <w:color w:val="007C89"/>
                                                      <w:sz w:val="24"/>
                                                      <w:szCs w:val="24"/>
                                                    </w:rPr>
                                                    <w:t>B12977A10</w:t>
                                                  </w:r>
                                                </w:hyperlink>
                                                <w:r>
                                                  <w:rPr>
                                                    <w:rFonts w:ascii="Helvetica" w:hAnsi="Helvetica" w:cs="Helvetica"/>
                                                    <w:color w:val="202020"/>
                                                    <w:sz w:val="24"/>
                                                    <w:szCs w:val="24"/>
                                                  </w:rPr>
                                                  <w:t>). </w:t>
                                                </w:r>
                                              </w:p>
                                              <w:p w14:paraId="1496B293" w14:textId="77777777" w:rsidR="008148CB" w:rsidRDefault="008148CB" w:rsidP="008148CB">
                                                <w:pPr>
                                                  <w:spacing w:before="150" w:after="150" w:line="360" w:lineRule="auto"/>
                                                  <w:jc w:val="both"/>
                                                  <w:rPr>
                                                    <w:rFonts w:ascii="Helvetica" w:hAnsi="Helvetica" w:cs="Helvetica"/>
                                                    <w:color w:val="202020"/>
                                                    <w:sz w:val="24"/>
                                                    <w:szCs w:val="24"/>
                                                  </w:rPr>
                                                </w:pPr>
                                                <w:r>
                                                  <w:rPr>
                                                    <w:rFonts w:ascii="Helvetica" w:hAnsi="Helvetica" w:cs="Helvetica"/>
                                                    <w:color w:val="202020"/>
                                                    <w:sz w:val="24"/>
                                                    <w:szCs w:val="24"/>
                                                  </w:rPr>
                                                  <w:t>According to one source, these initial exchanges have confirmed that the abolition of free emission allowances (also addressed in the CBAM text and mentioned above) and the introduction of a second ETS covering greenhouse gas emissions from space heating and road transport are the two most divisive issues. </w:t>
                                                </w:r>
                                              </w:p>
                                              <w:p w14:paraId="744D64F3" w14:textId="77777777" w:rsidR="008148CB" w:rsidRDefault="008148CB" w:rsidP="008148CB">
                                                <w:pPr>
                                                  <w:spacing w:before="150" w:after="150" w:line="360" w:lineRule="auto"/>
                                                  <w:jc w:val="both"/>
                                                  <w:rPr>
                                                    <w:rFonts w:ascii="Helvetica" w:hAnsi="Helvetica" w:cs="Helvetica"/>
                                                    <w:color w:val="202020"/>
                                                    <w:sz w:val="24"/>
                                                    <w:szCs w:val="24"/>
                                                  </w:rPr>
                                                </w:pPr>
                                                <w:r>
                                                  <w:rPr>
                                                    <w:rFonts w:ascii="Helvetica" w:hAnsi="Helvetica" w:cs="Helvetica"/>
                                                    <w:color w:val="202020"/>
                                                    <w:sz w:val="24"/>
                                                    <w:szCs w:val="24"/>
                                                  </w:rPr>
                                                  <w:t>“While it is important that we agree in principle, on many quite significant points there is a need for quite intensive negotiations”, acknowledged the Parliament’s rapporteur on the ETS review, Peter Liese (EPP, Germany). (Original version in French by Damien Genicot and Léa Marchal) </w:t>
                                                </w:r>
                                              </w:p>
                                              <w:p w14:paraId="5826BD48" w14:textId="77777777" w:rsidR="008148CB" w:rsidRDefault="008148CB" w:rsidP="008148CB">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038B57E5">
                                                    <v:rect id="_x0000_i1039" style="width:470.3pt;height:1.2pt" o:hralign="center" o:hrstd="t" o:hr="t" fillcolor="#a0a0a0" stroked="f"/>
                                                  </w:pict>
                                                </w:r>
                                              </w:p>
                                            </w:tc>
                                          </w:tr>
                                        </w:tbl>
                                        <w:p w14:paraId="47422C11" w14:textId="77777777" w:rsidR="008148CB" w:rsidRDefault="008148CB" w:rsidP="008148CB">
                                          <w:pPr>
                                            <w:spacing w:line="240" w:lineRule="auto"/>
                                            <w:rPr>
                                              <w:rFonts w:ascii="Times New Roman" w:eastAsia="Times New Roman" w:hAnsi="Times New Roman" w:cs="Times New Roman"/>
                                              <w:sz w:val="20"/>
                                              <w:szCs w:val="20"/>
                                            </w:rPr>
                                          </w:pPr>
                                        </w:p>
                                      </w:tc>
                                    </w:tr>
                                  </w:tbl>
                                  <w:p w14:paraId="5CB8286A" w14:textId="77777777" w:rsidR="008148CB" w:rsidRDefault="008148CB" w:rsidP="008148CB">
                                    <w:pPr>
                                      <w:rPr>
                                        <w:rFonts w:ascii="Times New Roman" w:eastAsia="Times New Roman" w:hAnsi="Times New Roman" w:cs="Times New Roman"/>
                                        <w:sz w:val="20"/>
                                        <w:szCs w:val="20"/>
                                      </w:rPr>
                                    </w:pPr>
                                  </w:p>
                                </w:tc>
                              </w:tr>
                            </w:tbl>
                            <w:p w14:paraId="5360D2B1" w14:textId="77777777" w:rsidR="008148CB" w:rsidRDefault="008148CB" w:rsidP="008148CB">
                              <w:pPr>
                                <w:rPr>
                                  <w:rFonts w:ascii="Times New Roman" w:eastAsia="Times New Roman" w:hAnsi="Times New Roman" w:cs="Times New Roman"/>
                                  <w:sz w:val="20"/>
                                  <w:szCs w:val="20"/>
                                </w:rPr>
                              </w:pPr>
                            </w:p>
                          </w:tc>
                        </w:tr>
                      </w:tbl>
                      <w:p w14:paraId="7224A7EF" w14:textId="77777777" w:rsidR="008148CB" w:rsidRDefault="008148CB" w:rsidP="008148CB">
                        <w:pPr>
                          <w:jc w:val="center"/>
                          <w:rPr>
                            <w:rFonts w:ascii="Times New Roman" w:eastAsia="Times New Roman" w:hAnsi="Times New Roman" w:cs="Times New Roman"/>
                            <w:sz w:val="20"/>
                            <w:szCs w:val="20"/>
                          </w:rPr>
                        </w:pPr>
                      </w:p>
                    </w:tc>
                  </w:tr>
                </w:tbl>
                <w:p w14:paraId="020468BE" w14:textId="77777777" w:rsidR="008148CB" w:rsidRDefault="008148CB" w:rsidP="008148CB">
                  <w:pPr>
                    <w:jc w:val="center"/>
                    <w:rPr>
                      <w:rFonts w:ascii="Times New Roman" w:eastAsia="Times New Roman" w:hAnsi="Times New Roman" w:cs="Times New Roman"/>
                      <w:sz w:val="20"/>
                      <w:szCs w:val="20"/>
                    </w:rPr>
                  </w:pPr>
                </w:p>
              </w:tc>
            </w:tr>
          </w:tbl>
          <w:p w14:paraId="19C7F1D4" w14:textId="77777777" w:rsidR="007566EE" w:rsidRDefault="007566EE">
            <w:pPr>
              <w:jc w:val="center"/>
              <w:rPr>
                <w:rFonts w:ascii="Times New Roman" w:eastAsia="Times New Roman" w:hAnsi="Times New Roman" w:cs="Times New Roman"/>
                <w:sz w:val="20"/>
                <w:szCs w:val="20"/>
              </w:rPr>
            </w:pPr>
          </w:p>
        </w:tc>
      </w:tr>
    </w:tbl>
    <w:p w14:paraId="3E82EDDC" w14:textId="77777777" w:rsidR="001E11AA" w:rsidRPr="009078A1" w:rsidRDefault="001E11AA" w:rsidP="009078A1"/>
    <w:sectPr w:rsidR="001E11AA" w:rsidRPr="009078A1" w:rsidSect="00CB17B4">
      <w:footerReference w:type="default" r:id="rId59"/>
      <w:pgSz w:w="11906" w:h="16838"/>
      <w:pgMar w:top="993"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7DA3" w14:textId="77777777" w:rsidR="00F07E06" w:rsidRDefault="00F07E06" w:rsidP="00CA0222">
      <w:pPr>
        <w:spacing w:after="0" w:line="240" w:lineRule="auto"/>
      </w:pPr>
      <w:r>
        <w:separator/>
      </w:r>
    </w:p>
  </w:endnote>
  <w:endnote w:type="continuationSeparator" w:id="0">
    <w:p w14:paraId="34315C84" w14:textId="77777777" w:rsidR="00F07E06" w:rsidRDefault="00F07E06" w:rsidP="00CA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836863"/>
      <w:docPartObj>
        <w:docPartGallery w:val="Page Numbers (Bottom of Page)"/>
        <w:docPartUnique/>
      </w:docPartObj>
    </w:sdtPr>
    <w:sdtContent>
      <w:p w14:paraId="5D0AA267" w14:textId="6F7386A0" w:rsidR="00CA0222" w:rsidRDefault="00CA0222">
        <w:pPr>
          <w:pStyle w:val="Stopka"/>
          <w:jc w:val="center"/>
        </w:pPr>
        <w:r>
          <w:fldChar w:fldCharType="begin"/>
        </w:r>
        <w:r>
          <w:instrText>PAGE   \* MERGEFORMAT</w:instrText>
        </w:r>
        <w:r>
          <w:fldChar w:fldCharType="separate"/>
        </w:r>
        <w:r>
          <w:t>2</w:t>
        </w:r>
        <w:r>
          <w:fldChar w:fldCharType="end"/>
        </w:r>
      </w:p>
    </w:sdtContent>
  </w:sdt>
  <w:p w14:paraId="172BF936" w14:textId="77777777" w:rsidR="00CA0222" w:rsidRDefault="00CA02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0B39A" w14:textId="77777777" w:rsidR="00F07E06" w:rsidRDefault="00F07E06" w:rsidP="00CA0222">
      <w:pPr>
        <w:spacing w:after="0" w:line="240" w:lineRule="auto"/>
      </w:pPr>
      <w:r>
        <w:separator/>
      </w:r>
    </w:p>
  </w:footnote>
  <w:footnote w:type="continuationSeparator" w:id="0">
    <w:p w14:paraId="75BF124A" w14:textId="77777777" w:rsidR="00F07E06" w:rsidRDefault="00F07E06" w:rsidP="00CA0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0F6"/>
    <w:multiLevelType w:val="multilevel"/>
    <w:tmpl w:val="2B5CE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567FB"/>
    <w:multiLevelType w:val="multilevel"/>
    <w:tmpl w:val="CE8C5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24EC6"/>
    <w:multiLevelType w:val="multilevel"/>
    <w:tmpl w:val="802A2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80B78"/>
    <w:multiLevelType w:val="multilevel"/>
    <w:tmpl w:val="68E807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06250"/>
    <w:multiLevelType w:val="multilevel"/>
    <w:tmpl w:val="D1DA1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87A39"/>
    <w:multiLevelType w:val="multilevel"/>
    <w:tmpl w:val="7826B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D0AFC"/>
    <w:multiLevelType w:val="multilevel"/>
    <w:tmpl w:val="0BAADFD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9356E"/>
    <w:multiLevelType w:val="multilevel"/>
    <w:tmpl w:val="E6306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5566F"/>
    <w:multiLevelType w:val="multilevel"/>
    <w:tmpl w:val="498E499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AC6C41"/>
    <w:multiLevelType w:val="multilevel"/>
    <w:tmpl w:val="8F96166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275AC"/>
    <w:multiLevelType w:val="multilevel"/>
    <w:tmpl w:val="254AF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C132E7"/>
    <w:multiLevelType w:val="multilevel"/>
    <w:tmpl w:val="2DDE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1038F0"/>
    <w:multiLevelType w:val="multilevel"/>
    <w:tmpl w:val="00A63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DD7087"/>
    <w:multiLevelType w:val="multilevel"/>
    <w:tmpl w:val="85EAE9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05B70"/>
    <w:multiLevelType w:val="multilevel"/>
    <w:tmpl w:val="5B066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EB5A79"/>
    <w:multiLevelType w:val="multilevel"/>
    <w:tmpl w:val="21900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3F62A7"/>
    <w:multiLevelType w:val="multilevel"/>
    <w:tmpl w:val="D1CC2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0F14FD"/>
    <w:multiLevelType w:val="multilevel"/>
    <w:tmpl w:val="B9300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A94537"/>
    <w:multiLevelType w:val="multilevel"/>
    <w:tmpl w:val="1B027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73579"/>
    <w:multiLevelType w:val="multilevel"/>
    <w:tmpl w:val="5F2A5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B6102D"/>
    <w:multiLevelType w:val="multilevel"/>
    <w:tmpl w:val="8466C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439B4"/>
    <w:multiLevelType w:val="multilevel"/>
    <w:tmpl w:val="E374606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823926"/>
    <w:multiLevelType w:val="multilevel"/>
    <w:tmpl w:val="39A85C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F67AEB"/>
    <w:multiLevelType w:val="multilevel"/>
    <w:tmpl w:val="A9189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8D1010"/>
    <w:multiLevelType w:val="multilevel"/>
    <w:tmpl w:val="D7206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307C63"/>
    <w:multiLevelType w:val="multilevel"/>
    <w:tmpl w:val="5868E5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557590921">
    <w:abstractNumId w:val="8"/>
  </w:num>
  <w:num w:numId="2" w16cid:durableId="549389469">
    <w:abstractNumId w:val="9"/>
  </w:num>
  <w:num w:numId="3" w16cid:durableId="1419248911">
    <w:abstractNumId w:val="3"/>
  </w:num>
  <w:num w:numId="4" w16cid:durableId="1100181839">
    <w:abstractNumId w:val="22"/>
  </w:num>
  <w:num w:numId="5" w16cid:durableId="207685">
    <w:abstractNumId w:val="21"/>
  </w:num>
  <w:num w:numId="6" w16cid:durableId="2025477960">
    <w:abstractNumId w:val="13"/>
  </w:num>
  <w:num w:numId="7" w16cid:durableId="703336133">
    <w:abstractNumId w:val="25"/>
  </w:num>
  <w:num w:numId="8" w16cid:durableId="72095363">
    <w:abstractNumId w:val="6"/>
  </w:num>
  <w:num w:numId="9" w16cid:durableId="1532499698">
    <w:abstractNumId w:val="12"/>
  </w:num>
  <w:num w:numId="10" w16cid:durableId="1243223628">
    <w:abstractNumId w:val="20"/>
  </w:num>
  <w:num w:numId="11" w16cid:durableId="819614381">
    <w:abstractNumId w:val="7"/>
  </w:num>
  <w:num w:numId="12" w16cid:durableId="2097440764">
    <w:abstractNumId w:val="4"/>
  </w:num>
  <w:num w:numId="13" w16cid:durableId="713846287">
    <w:abstractNumId w:val="14"/>
  </w:num>
  <w:num w:numId="14" w16cid:durableId="2146314906">
    <w:abstractNumId w:val="23"/>
  </w:num>
  <w:num w:numId="15" w16cid:durableId="473185925">
    <w:abstractNumId w:val="2"/>
  </w:num>
  <w:num w:numId="16" w16cid:durableId="1897935462">
    <w:abstractNumId w:val="19"/>
  </w:num>
  <w:num w:numId="17" w16cid:durableId="2011056760">
    <w:abstractNumId w:val="16"/>
  </w:num>
  <w:num w:numId="18" w16cid:durableId="1641643339">
    <w:abstractNumId w:val="17"/>
  </w:num>
  <w:num w:numId="19" w16cid:durableId="2037581328">
    <w:abstractNumId w:val="11"/>
    <w:lvlOverride w:ilvl="0"/>
    <w:lvlOverride w:ilvl="1"/>
    <w:lvlOverride w:ilvl="2"/>
    <w:lvlOverride w:ilvl="3"/>
    <w:lvlOverride w:ilvl="4"/>
    <w:lvlOverride w:ilvl="5"/>
    <w:lvlOverride w:ilvl="6"/>
    <w:lvlOverride w:ilvl="7"/>
    <w:lvlOverride w:ilvl="8"/>
  </w:num>
  <w:num w:numId="20" w16cid:durableId="1195313055">
    <w:abstractNumId w:val="15"/>
    <w:lvlOverride w:ilvl="0"/>
    <w:lvlOverride w:ilvl="1"/>
    <w:lvlOverride w:ilvl="2"/>
    <w:lvlOverride w:ilvl="3"/>
    <w:lvlOverride w:ilvl="4"/>
    <w:lvlOverride w:ilvl="5"/>
    <w:lvlOverride w:ilvl="6"/>
    <w:lvlOverride w:ilvl="7"/>
    <w:lvlOverride w:ilvl="8"/>
  </w:num>
  <w:num w:numId="21" w16cid:durableId="1595213283">
    <w:abstractNumId w:val="5"/>
    <w:lvlOverride w:ilvl="0"/>
    <w:lvlOverride w:ilvl="1"/>
    <w:lvlOverride w:ilvl="2"/>
    <w:lvlOverride w:ilvl="3"/>
    <w:lvlOverride w:ilvl="4"/>
    <w:lvlOverride w:ilvl="5"/>
    <w:lvlOverride w:ilvl="6"/>
    <w:lvlOverride w:ilvl="7"/>
    <w:lvlOverride w:ilvl="8"/>
  </w:num>
  <w:num w:numId="22" w16cid:durableId="1614358058">
    <w:abstractNumId w:val="10"/>
    <w:lvlOverride w:ilvl="0"/>
    <w:lvlOverride w:ilvl="1"/>
    <w:lvlOverride w:ilvl="2"/>
    <w:lvlOverride w:ilvl="3"/>
    <w:lvlOverride w:ilvl="4"/>
    <w:lvlOverride w:ilvl="5"/>
    <w:lvlOverride w:ilvl="6"/>
    <w:lvlOverride w:ilvl="7"/>
    <w:lvlOverride w:ilvl="8"/>
  </w:num>
  <w:num w:numId="23" w16cid:durableId="1052382932">
    <w:abstractNumId w:val="0"/>
    <w:lvlOverride w:ilvl="0"/>
    <w:lvlOverride w:ilvl="1"/>
    <w:lvlOverride w:ilvl="2"/>
    <w:lvlOverride w:ilvl="3"/>
    <w:lvlOverride w:ilvl="4"/>
    <w:lvlOverride w:ilvl="5"/>
    <w:lvlOverride w:ilvl="6"/>
    <w:lvlOverride w:ilvl="7"/>
    <w:lvlOverride w:ilvl="8"/>
  </w:num>
  <w:num w:numId="24" w16cid:durableId="300574080">
    <w:abstractNumId w:val="24"/>
    <w:lvlOverride w:ilvl="0"/>
    <w:lvlOverride w:ilvl="1"/>
    <w:lvlOverride w:ilvl="2"/>
    <w:lvlOverride w:ilvl="3"/>
    <w:lvlOverride w:ilvl="4"/>
    <w:lvlOverride w:ilvl="5"/>
    <w:lvlOverride w:ilvl="6"/>
    <w:lvlOverride w:ilvl="7"/>
    <w:lvlOverride w:ilvl="8"/>
  </w:num>
  <w:num w:numId="25" w16cid:durableId="1042678713">
    <w:abstractNumId w:val="18"/>
    <w:lvlOverride w:ilvl="0"/>
    <w:lvlOverride w:ilvl="1"/>
    <w:lvlOverride w:ilvl="2"/>
    <w:lvlOverride w:ilvl="3"/>
    <w:lvlOverride w:ilvl="4"/>
    <w:lvlOverride w:ilvl="5"/>
    <w:lvlOverride w:ilvl="6"/>
    <w:lvlOverride w:ilvl="7"/>
    <w:lvlOverride w:ilvl="8"/>
  </w:num>
  <w:num w:numId="26" w16cid:durableId="1500778459">
    <w:abstractNumId w:val="1"/>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C0"/>
    <w:rsid w:val="00000199"/>
    <w:rsid w:val="00045407"/>
    <w:rsid w:val="00052168"/>
    <w:rsid w:val="00072128"/>
    <w:rsid w:val="00077832"/>
    <w:rsid w:val="000C5747"/>
    <w:rsid w:val="000F2377"/>
    <w:rsid w:val="00134672"/>
    <w:rsid w:val="00150D10"/>
    <w:rsid w:val="001B244E"/>
    <w:rsid w:val="001E11AA"/>
    <w:rsid w:val="00203CCF"/>
    <w:rsid w:val="00217B51"/>
    <w:rsid w:val="00223E4B"/>
    <w:rsid w:val="002276FF"/>
    <w:rsid w:val="00233FED"/>
    <w:rsid w:val="0023655B"/>
    <w:rsid w:val="00237B76"/>
    <w:rsid w:val="00267023"/>
    <w:rsid w:val="00296092"/>
    <w:rsid w:val="002977F4"/>
    <w:rsid w:val="00361808"/>
    <w:rsid w:val="003B0A4E"/>
    <w:rsid w:val="003E453A"/>
    <w:rsid w:val="003E6310"/>
    <w:rsid w:val="00450611"/>
    <w:rsid w:val="004551AC"/>
    <w:rsid w:val="00496475"/>
    <w:rsid w:val="004972B8"/>
    <w:rsid w:val="004A2591"/>
    <w:rsid w:val="004A2BAF"/>
    <w:rsid w:val="004C61F0"/>
    <w:rsid w:val="00530CCE"/>
    <w:rsid w:val="00550184"/>
    <w:rsid w:val="00553C6C"/>
    <w:rsid w:val="00564CB1"/>
    <w:rsid w:val="005660EF"/>
    <w:rsid w:val="005869DD"/>
    <w:rsid w:val="005C14A9"/>
    <w:rsid w:val="005D2F83"/>
    <w:rsid w:val="005E41AE"/>
    <w:rsid w:val="00610E13"/>
    <w:rsid w:val="00656F5D"/>
    <w:rsid w:val="00663E3F"/>
    <w:rsid w:val="00695013"/>
    <w:rsid w:val="006C763D"/>
    <w:rsid w:val="007566EE"/>
    <w:rsid w:val="00757C39"/>
    <w:rsid w:val="0076478A"/>
    <w:rsid w:val="0077760F"/>
    <w:rsid w:val="00790698"/>
    <w:rsid w:val="007977C1"/>
    <w:rsid w:val="007C3BD7"/>
    <w:rsid w:val="007F7127"/>
    <w:rsid w:val="008148CB"/>
    <w:rsid w:val="0081660F"/>
    <w:rsid w:val="00821C7B"/>
    <w:rsid w:val="00843443"/>
    <w:rsid w:val="008731EA"/>
    <w:rsid w:val="008871CA"/>
    <w:rsid w:val="009078A1"/>
    <w:rsid w:val="009168BF"/>
    <w:rsid w:val="00930EE3"/>
    <w:rsid w:val="0094579C"/>
    <w:rsid w:val="00984882"/>
    <w:rsid w:val="009C667E"/>
    <w:rsid w:val="009D1612"/>
    <w:rsid w:val="00A0751A"/>
    <w:rsid w:val="00A15F99"/>
    <w:rsid w:val="00A63277"/>
    <w:rsid w:val="00A66F8C"/>
    <w:rsid w:val="00A91B2D"/>
    <w:rsid w:val="00A96DB7"/>
    <w:rsid w:val="00AB4987"/>
    <w:rsid w:val="00AC752A"/>
    <w:rsid w:val="00AF22A1"/>
    <w:rsid w:val="00B0640B"/>
    <w:rsid w:val="00B11599"/>
    <w:rsid w:val="00B144E6"/>
    <w:rsid w:val="00B50C66"/>
    <w:rsid w:val="00B609DE"/>
    <w:rsid w:val="00B72615"/>
    <w:rsid w:val="00BC50E5"/>
    <w:rsid w:val="00C2676B"/>
    <w:rsid w:val="00C26DF8"/>
    <w:rsid w:val="00C43BD3"/>
    <w:rsid w:val="00C528C0"/>
    <w:rsid w:val="00CA0222"/>
    <w:rsid w:val="00CA22D9"/>
    <w:rsid w:val="00CB17B4"/>
    <w:rsid w:val="00CB5774"/>
    <w:rsid w:val="00CC0514"/>
    <w:rsid w:val="00CC1509"/>
    <w:rsid w:val="00CC4807"/>
    <w:rsid w:val="00CF1BF6"/>
    <w:rsid w:val="00D4496C"/>
    <w:rsid w:val="00D806B0"/>
    <w:rsid w:val="00D864D3"/>
    <w:rsid w:val="00DA675E"/>
    <w:rsid w:val="00E50CE8"/>
    <w:rsid w:val="00E52740"/>
    <w:rsid w:val="00E57E49"/>
    <w:rsid w:val="00E7706E"/>
    <w:rsid w:val="00E81182"/>
    <w:rsid w:val="00E90491"/>
    <w:rsid w:val="00E929EA"/>
    <w:rsid w:val="00E9383E"/>
    <w:rsid w:val="00EB2954"/>
    <w:rsid w:val="00EF511D"/>
    <w:rsid w:val="00F07E06"/>
    <w:rsid w:val="00F102D8"/>
    <w:rsid w:val="00F16AD0"/>
    <w:rsid w:val="00F34548"/>
    <w:rsid w:val="00F5478C"/>
    <w:rsid w:val="00F72C70"/>
    <w:rsid w:val="00FA576C"/>
    <w:rsid w:val="00FB35D4"/>
    <w:rsid w:val="00FB6FC4"/>
    <w:rsid w:val="00FC6204"/>
    <w:rsid w:val="00FE28C3"/>
    <w:rsid w:val="00FE5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F234"/>
  <w15:docId w15:val="{DE2D4DE7-C6BE-481D-BBDC-79FAB13A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67E"/>
    <w:pPr>
      <w:spacing w:line="254" w:lineRule="auto"/>
    </w:pPr>
    <w:rPr>
      <w:rFonts w:ascii="Calibri" w:eastAsiaTheme="minorHAnsi" w:hAnsi="Calibri" w:cs="Calibri"/>
    </w:rPr>
  </w:style>
  <w:style w:type="paragraph" w:styleId="Nagwek1">
    <w:name w:val="heading 1"/>
    <w:basedOn w:val="Normalny"/>
    <w:link w:val="Nagwek1Znak"/>
    <w:uiPriority w:val="9"/>
    <w:qFormat/>
    <w:rsid w:val="009C667E"/>
    <w:pPr>
      <w:keepNext/>
      <w:spacing w:before="240" w:after="0"/>
      <w:outlineLvl w:val="0"/>
    </w:pPr>
    <w:rPr>
      <w:rFonts w:ascii="Calibri Light" w:hAnsi="Calibri Light" w:cs="Calibri Light"/>
      <w:color w:val="2F5496"/>
      <w:kern w:val="36"/>
      <w:sz w:val="32"/>
      <w:szCs w:val="32"/>
    </w:rPr>
  </w:style>
  <w:style w:type="paragraph" w:styleId="Nagwek2">
    <w:name w:val="heading 2"/>
    <w:basedOn w:val="Normalny"/>
    <w:next w:val="Normalny"/>
    <w:link w:val="Nagwek2Znak"/>
    <w:uiPriority w:val="9"/>
    <w:semiHidden/>
    <w:unhideWhenUsed/>
    <w:qFormat/>
    <w:rsid w:val="00CA0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B49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667E"/>
    <w:rPr>
      <w:rFonts w:ascii="Calibri Light" w:eastAsiaTheme="minorHAnsi" w:hAnsi="Calibri Light" w:cs="Calibri Light"/>
      <w:color w:val="2F5496"/>
      <w:kern w:val="36"/>
      <w:sz w:val="32"/>
      <w:szCs w:val="32"/>
    </w:rPr>
  </w:style>
  <w:style w:type="character" w:styleId="Hipercze">
    <w:name w:val="Hyperlink"/>
    <w:basedOn w:val="Domylnaczcionkaakapitu"/>
    <w:uiPriority w:val="99"/>
    <w:semiHidden/>
    <w:unhideWhenUsed/>
    <w:rsid w:val="009C667E"/>
    <w:rPr>
      <w:color w:val="0563C1"/>
      <w:u w:val="single"/>
    </w:rPr>
  </w:style>
  <w:style w:type="paragraph" w:styleId="Akapitzlist">
    <w:name w:val="List Paragraph"/>
    <w:basedOn w:val="Normalny"/>
    <w:uiPriority w:val="34"/>
    <w:qFormat/>
    <w:rsid w:val="009C667E"/>
    <w:pPr>
      <w:ind w:left="720"/>
      <w:contextualSpacing/>
    </w:pPr>
  </w:style>
  <w:style w:type="paragraph" w:customStyle="1" w:styleId="paragraph">
    <w:name w:val="paragraph"/>
    <w:basedOn w:val="Normalny"/>
    <w:rsid w:val="009C667E"/>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omylnaczcionkaakapitu"/>
    <w:rsid w:val="009C667E"/>
  </w:style>
  <w:style w:type="character" w:customStyle="1" w:styleId="eop">
    <w:name w:val="eop"/>
    <w:basedOn w:val="Domylnaczcionkaakapitu"/>
    <w:rsid w:val="009C667E"/>
  </w:style>
  <w:style w:type="paragraph" w:styleId="NormalnyWeb">
    <w:name w:val="Normal (Web)"/>
    <w:basedOn w:val="Normalny"/>
    <w:uiPriority w:val="99"/>
    <w:semiHidden/>
    <w:unhideWhenUsed/>
    <w:rsid w:val="00CF1BF6"/>
    <w:pPr>
      <w:spacing w:before="100" w:beforeAutospacing="1" w:after="100" w:afterAutospacing="1" w:line="240" w:lineRule="auto"/>
    </w:pPr>
    <w:rPr>
      <w:lang w:eastAsia="pl-PL"/>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Párrafo de lista1 Char,Parágrafo da Lista1 Char"/>
    <w:basedOn w:val="Domylnaczcionkaakapitu"/>
    <w:link w:val="Akapitzlist1"/>
    <w:uiPriority w:val="34"/>
    <w:locked/>
    <w:rsid w:val="00CF1BF6"/>
  </w:style>
  <w:style w:type="paragraph" w:customStyle="1" w:styleId="Akapitzlist1">
    <w:name w:val="Akapit z listą1"/>
    <w:aliases w:val="Bullet List,FooterText,List Paragraph1,numbered,Paragraphe de liste1,Bulletr List Paragraph,列出段落,列出段落1,List Paragraph2,List Paragraph21,Párrafo de lista1,Parágrafo da Lista1,リスト段落1,Listeafsnit1,????,????1,?????1,Colorful List - Accent 11"/>
    <w:basedOn w:val="Normalny"/>
    <w:link w:val="ListParagraphChar"/>
    <w:uiPriority w:val="34"/>
    <w:rsid w:val="00CF1BF6"/>
    <w:pPr>
      <w:ind w:left="720"/>
      <w:contextualSpacing/>
    </w:pPr>
    <w:rPr>
      <w:rFonts w:asciiTheme="minorHAnsi" w:eastAsia="Times New Roman" w:hAnsiTheme="minorHAnsi" w:cstheme="minorBidi"/>
    </w:rPr>
  </w:style>
  <w:style w:type="paragraph" w:customStyle="1" w:styleId="bodytext1">
    <w:name w:val="bodytext1"/>
    <w:basedOn w:val="Normalny"/>
    <w:rsid w:val="00CF1BF6"/>
    <w:pPr>
      <w:spacing w:before="100" w:beforeAutospacing="1" w:after="100" w:afterAutospacing="1" w:line="240" w:lineRule="auto"/>
    </w:pPr>
    <w:rPr>
      <w:rFonts w:ascii="Times New Roman" w:hAnsi="Times New Roman" w:cs="Times New Roman"/>
      <w:sz w:val="24"/>
      <w:szCs w:val="24"/>
    </w:rPr>
  </w:style>
  <w:style w:type="character" w:styleId="Uwydatnienie">
    <w:name w:val="Emphasis"/>
    <w:basedOn w:val="Domylnaczcionkaakapitu"/>
    <w:uiPriority w:val="20"/>
    <w:qFormat/>
    <w:rsid w:val="00CF1BF6"/>
    <w:rPr>
      <w:i/>
      <w:iCs/>
    </w:rPr>
  </w:style>
  <w:style w:type="character" w:styleId="Pogrubienie">
    <w:name w:val="Strong"/>
    <w:basedOn w:val="Domylnaczcionkaakapitu"/>
    <w:uiPriority w:val="22"/>
    <w:qFormat/>
    <w:rsid w:val="00CF1BF6"/>
    <w:rPr>
      <w:b/>
      <w:bCs/>
    </w:rPr>
  </w:style>
  <w:style w:type="character" w:customStyle="1" w:styleId="scxw53767519">
    <w:name w:val="scxw53767519"/>
    <w:basedOn w:val="Domylnaczcionkaakapitu"/>
    <w:rsid w:val="00CC4807"/>
  </w:style>
  <w:style w:type="character" w:customStyle="1" w:styleId="scxw234614605">
    <w:name w:val="scxw234614605"/>
    <w:basedOn w:val="Domylnaczcionkaakapitu"/>
    <w:rsid w:val="004972B8"/>
  </w:style>
  <w:style w:type="character" w:customStyle="1" w:styleId="tabchar">
    <w:name w:val="tabchar"/>
    <w:basedOn w:val="Domylnaczcionkaakapitu"/>
    <w:rsid w:val="004972B8"/>
  </w:style>
  <w:style w:type="character" w:customStyle="1" w:styleId="scxw142326765">
    <w:name w:val="scxw142326765"/>
    <w:basedOn w:val="Domylnaczcionkaakapitu"/>
    <w:rsid w:val="003B0A4E"/>
  </w:style>
  <w:style w:type="character" w:customStyle="1" w:styleId="scxw7763664">
    <w:name w:val="scxw7763664"/>
    <w:basedOn w:val="Domylnaczcionkaakapitu"/>
    <w:rsid w:val="00E81182"/>
  </w:style>
  <w:style w:type="character" w:customStyle="1" w:styleId="scxw209904738">
    <w:name w:val="scxw209904738"/>
    <w:basedOn w:val="Domylnaczcionkaakapitu"/>
    <w:rsid w:val="00B0640B"/>
  </w:style>
  <w:style w:type="character" w:customStyle="1" w:styleId="scxw26013484">
    <w:name w:val="scxw26013484"/>
    <w:basedOn w:val="Domylnaczcionkaakapitu"/>
    <w:rsid w:val="007977C1"/>
  </w:style>
  <w:style w:type="character" w:customStyle="1" w:styleId="scxw212939070">
    <w:name w:val="scxw212939070"/>
    <w:basedOn w:val="Domylnaczcionkaakapitu"/>
    <w:rsid w:val="00530CCE"/>
  </w:style>
  <w:style w:type="character" w:customStyle="1" w:styleId="Nagwek2Znak">
    <w:name w:val="Nagłówek 2 Znak"/>
    <w:basedOn w:val="Domylnaczcionkaakapitu"/>
    <w:link w:val="Nagwek2"/>
    <w:uiPriority w:val="9"/>
    <w:semiHidden/>
    <w:rsid w:val="00CA0222"/>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CA02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0222"/>
    <w:rPr>
      <w:rFonts w:ascii="Calibri" w:eastAsiaTheme="minorHAnsi" w:hAnsi="Calibri" w:cs="Calibri"/>
    </w:rPr>
  </w:style>
  <w:style w:type="paragraph" w:styleId="Stopka">
    <w:name w:val="footer"/>
    <w:basedOn w:val="Normalny"/>
    <w:link w:val="StopkaZnak"/>
    <w:uiPriority w:val="99"/>
    <w:unhideWhenUsed/>
    <w:rsid w:val="00CA02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0222"/>
    <w:rPr>
      <w:rFonts w:ascii="Calibri" w:eastAsiaTheme="minorHAnsi" w:hAnsi="Calibri" w:cs="Calibri"/>
    </w:rPr>
  </w:style>
  <w:style w:type="character" w:customStyle="1" w:styleId="Nagwek3Znak">
    <w:name w:val="Nagłówek 3 Znak"/>
    <w:basedOn w:val="Domylnaczcionkaakapitu"/>
    <w:link w:val="Nagwek3"/>
    <w:uiPriority w:val="9"/>
    <w:semiHidden/>
    <w:rsid w:val="00AB498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32">
      <w:bodyDiv w:val="1"/>
      <w:marLeft w:val="0"/>
      <w:marRight w:val="0"/>
      <w:marTop w:val="0"/>
      <w:marBottom w:val="0"/>
      <w:divBdr>
        <w:top w:val="none" w:sz="0" w:space="0" w:color="auto"/>
        <w:left w:val="none" w:sz="0" w:space="0" w:color="auto"/>
        <w:bottom w:val="none" w:sz="0" w:space="0" w:color="auto"/>
        <w:right w:val="none" w:sz="0" w:space="0" w:color="auto"/>
      </w:divBdr>
    </w:div>
    <w:div w:id="93788280">
      <w:bodyDiv w:val="1"/>
      <w:marLeft w:val="0"/>
      <w:marRight w:val="0"/>
      <w:marTop w:val="0"/>
      <w:marBottom w:val="0"/>
      <w:divBdr>
        <w:top w:val="none" w:sz="0" w:space="0" w:color="auto"/>
        <w:left w:val="none" w:sz="0" w:space="0" w:color="auto"/>
        <w:bottom w:val="none" w:sz="0" w:space="0" w:color="auto"/>
        <w:right w:val="none" w:sz="0" w:space="0" w:color="auto"/>
      </w:divBdr>
      <w:divsChild>
        <w:div w:id="1177381328">
          <w:marLeft w:val="720"/>
          <w:marRight w:val="0"/>
          <w:marTop w:val="100"/>
          <w:marBottom w:val="100"/>
          <w:divBdr>
            <w:top w:val="none" w:sz="0" w:space="0" w:color="auto"/>
            <w:left w:val="none" w:sz="0" w:space="0" w:color="auto"/>
            <w:bottom w:val="none" w:sz="0" w:space="0" w:color="auto"/>
            <w:right w:val="none" w:sz="0" w:space="0" w:color="auto"/>
          </w:divBdr>
        </w:div>
      </w:divsChild>
    </w:div>
    <w:div w:id="107699711">
      <w:bodyDiv w:val="1"/>
      <w:marLeft w:val="0"/>
      <w:marRight w:val="0"/>
      <w:marTop w:val="0"/>
      <w:marBottom w:val="0"/>
      <w:divBdr>
        <w:top w:val="none" w:sz="0" w:space="0" w:color="auto"/>
        <w:left w:val="none" w:sz="0" w:space="0" w:color="auto"/>
        <w:bottom w:val="none" w:sz="0" w:space="0" w:color="auto"/>
        <w:right w:val="none" w:sz="0" w:space="0" w:color="auto"/>
      </w:divBdr>
    </w:div>
    <w:div w:id="184095434">
      <w:bodyDiv w:val="1"/>
      <w:marLeft w:val="0"/>
      <w:marRight w:val="0"/>
      <w:marTop w:val="0"/>
      <w:marBottom w:val="0"/>
      <w:divBdr>
        <w:top w:val="none" w:sz="0" w:space="0" w:color="auto"/>
        <w:left w:val="none" w:sz="0" w:space="0" w:color="auto"/>
        <w:bottom w:val="none" w:sz="0" w:space="0" w:color="auto"/>
        <w:right w:val="none" w:sz="0" w:space="0" w:color="auto"/>
      </w:divBdr>
    </w:div>
    <w:div w:id="215548610">
      <w:bodyDiv w:val="1"/>
      <w:marLeft w:val="0"/>
      <w:marRight w:val="0"/>
      <w:marTop w:val="0"/>
      <w:marBottom w:val="0"/>
      <w:divBdr>
        <w:top w:val="none" w:sz="0" w:space="0" w:color="auto"/>
        <w:left w:val="none" w:sz="0" w:space="0" w:color="auto"/>
        <w:bottom w:val="none" w:sz="0" w:space="0" w:color="auto"/>
        <w:right w:val="none" w:sz="0" w:space="0" w:color="auto"/>
      </w:divBdr>
    </w:div>
    <w:div w:id="272250090">
      <w:bodyDiv w:val="1"/>
      <w:marLeft w:val="0"/>
      <w:marRight w:val="0"/>
      <w:marTop w:val="0"/>
      <w:marBottom w:val="0"/>
      <w:divBdr>
        <w:top w:val="none" w:sz="0" w:space="0" w:color="auto"/>
        <w:left w:val="none" w:sz="0" w:space="0" w:color="auto"/>
        <w:bottom w:val="none" w:sz="0" w:space="0" w:color="auto"/>
        <w:right w:val="none" w:sz="0" w:space="0" w:color="auto"/>
      </w:divBdr>
      <w:divsChild>
        <w:div w:id="481389314">
          <w:marLeft w:val="720"/>
          <w:marRight w:val="0"/>
          <w:marTop w:val="100"/>
          <w:marBottom w:val="100"/>
          <w:divBdr>
            <w:top w:val="none" w:sz="0" w:space="0" w:color="auto"/>
            <w:left w:val="none" w:sz="0" w:space="0" w:color="auto"/>
            <w:bottom w:val="none" w:sz="0" w:space="0" w:color="auto"/>
            <w:right w:val="none" w:sz="0" w:space="0" w:color="auto"/>
          </w:divBdr>
        </w:div>
      </w:divsChild>
    </w:div>
    <w:div w:id="317152834">
      <w:bodyDiv w:val="1"/>
      <w:marLeft w:val="0"/>
      <w:marRight w:val="0"/>
      <w:marTop w:val="0"/>
      <w:marBottom w:val="0"/>
      <w:divBdr>
        <w:top w:val="none" w:sz="0" w:space="0" w:color="auto"/>
        <w:left w:val="none" w:sz="0" w:space="0" w:color="auto"/>
        <w:bottom w:val="none" w:sz="0" w:space="0" w:color="auto"/>
        <w:right w:val="none" w:sz="0" w:space="0" w:color="auto"/>
      </w:divBdr>
    </w:div>
    <w:div w:id="378212998">
      <w:bodyDiv w:val="1"/>
      <w:marLeft w:val="0"/>
      <w:marRight w:val="0"/>
      <w:marTop w:val="0"/>
      <w:marBottom w:val="0"/>
      <w:divBdr>
        <w:top w:val="none" w:sz="0" w:space="0" w:color="auto"/>
        <w:left w:val="none" w:sz="0" w:space="0" w:color="auto"/>
        <w:bottom w:val="none" w:sz="0" w:space="0" w:color="auto"/>
        <w:right w:val="none" w:sz="0" w:space="0" w:color="auto"/>
      </w:divBdr>
    </w:div>
    <w:div w:id="411392317">
      <w:bodyDiv w:val="1"/>
      <w:marLeft w:val="0"/>
      <w:marRight w:val="0"/>
      <w:marTop w:val="0"/>
      <w:marBottom w:val="0"/>
      <w:divBdr>
        <w:top w:val="none" w:sz="0" w:space="0" w:color="auto"/>
        <w:left w:val="none" w:sz="0" w:space="0" w:color="auto"/>
        <w:bottom w:val="none" w:sz="0" w:space="0" w:color="auto"/>
        <w:right w:val="none" w:sz="0" w:space="0" w:color="auto"/>
      </w:divBdr>
    </w:div>
    <w:div w:id="488399883">
      <w:bodyDiv w:val="1"/>
      <w:marLeft w:val="0"/>
      <w:marRight w:val="0"/>
      <w:marTop w:val="0"/>
      <w:marBottom w:val="0"/>
      <w:divBdr>
        <w:top w:val="none" w:sz="0" w:space="0" w:color="auto"/>
        <w:left w:val="none" w:sz="0" w:space="0" w:color="auto"/>
        <w:bottom w:val="none" w:sz="0" w:space="0" w:color="auto"/>
        <w:right w:val="none" w:sz="0" w:space="0" w:color="auto"/>
      </w:divBdr>
    </w:div>
    <w:div w:id="499809184">
      <w:bodyDiv w:val="1"/>
      <w:marLeft w:val="0"/>
      <w:marRight w:val="0"/>
      <w:marTop w:val="0"/>
      <w:marBottom w:val="0"/>
      <w:divBdr>
        <w:top w:val="none" w:sz="0" w:space="0" w:color="auto"/>
        <w:left w:val="none" w:sz="0" w:space="0" w:color="auto"/>
        <w:bottom w:val="none" w:sz="0" w:space="0" w:color="auto"/>
        <w:right w:val="none" w:sz="0" w:space="0" w:color="auto"/>
      </w:divBdr>
    </w:div>
    <w:div w:id="499925516">
      <w:bodyDiv w:val="1"/>
      <w:marLeft w:val="0"/>
      <w:marRight w:val="0"/>
      <w:marTop w:val="0"/>
      <w:marBottom w:val="0"/>
      <w:divBdr>
        <w:top w:val="none" w:sz="0" w:space="0" w:color="auto"/>
        <w:left w:val="none" w:sz="0" w:space="0" w:color="auto"/>
        <w:bottom w:val="none" w:sz="0" w:space="0" w:color="auto"/>
        <w:right w:val="none" w:sz="0" w:space="0" w:color="auto"/>
      </w:divBdr>
    </w:div>
    <w:div w:id="514073706">
      <w:bodyDiv w:val="1"/>
      <w:marLeft w:val="0"/>
      <w:marRight w:val="0"/>
      <w:marTop w:val="0"/>
      <w:marBottom w:val="0"/>
      <w:divBdr>
        <w:top w:val="none" w:sz="0" w:space="0" w:color="auto"/>
        <w:left w:val="none" w:sz="0" w:space="0" w:color="auto"/>
        <w:bottom w:val="none" w:sz="0" w:space="0" w:color="auto"/>
        <w:right w:val="none" w:sz="0" w:space="0" w:color="auto"/>
      </w:divBdr>
    </w:div>
    <w:div w:id="624774318">
      <w:bodyDiv w:val="1"/>
      <w:marLeft w:val="0"/>
      <w:marRight w:val="0"/>
      <w:marTop w:val="0"/>
      <w:marBottom w:val="0"/>
      <w:divBdr>
        <w:top w:val="none" w:sz="0" w:space="0" w:color="auto"/>
        <w:left w:val="none" w:sz="0" w:space="0" w:color="auto"/>
        <w:bottom w:val="none" w:sz="0" w:space="0" w:color="auto"/>
        <w:right w:val="none" w:sz="0" w:space="0" w:color="auto"/>
      </w:divBdr>
    </w:div>
    <w:div w:id="767389268">
      <w:bodyDiv w:val="1"/>
      <w:marLeft w:val="0"/>
      <w:marRight w:val="0"/>
      <w:marTop w:val="0"/>
      <w:marBottom w:val="0"/>
      <w:divBdr>
        <w:top w:val="none" w:sz="0" w:space="0" w:color="auto"/>
        <w:left w:val="none" w:sz="0" w:space="0" w:color="auto"/>
        <w:bottom w:val="none" w:sz="0" w:space="0" w:color="auto"/>
        <w:right w:val="none" w:sz="0" w:space="0" w:color="auto"/>
      </w:divBdr>
    </w:div>
    <w:div w:id="767971180">
      <w:bodyDiv w:val="1"/>
      <w:marLeft w:val="0"/>
      <w:marRight w:val="0"/>
      <w:marTop w:val="0"/>
      <w:marBottom w:val="0"/>
      <w:divBdr>
        <w:top w:val="none" w:sz="0" w:space="0" w:color="auto"/>
        <w:left w:val="none" w:sz="0" w:space="0" w:color="auto"/>
        <w:bottom w:val="none" w:sz="0" w:space="0" w:color="auto"/>
        <w:right w:val="none" w:sz="0" w:space="0" w:color="auto"/>
      </w:divBdr>
    </w:div>
    <w:div w:id="825899293">
      <w:bodyDiv w:val="1"/>
      <w:marLeft w:val="0"/>
      <w:marRight w:val="0"/>
      <w:marTop w:val="0"/>
      <w:marBottom w:val="0"/>
      <w:divBdr>
        <w:top w:val="none" w:sz="0" w:space="0" w:color="auto"/>
        <w:left w:val="none" w:sz="0" w:space="0" w:color="auto"/>
        <w:bottom w:val="none" w:sz="0" w:space="0" w:color="auto"/>
        <w:right w:val="none" w:sz="0" w:space="0" w:color="auto"/>
      </w:divBdr>
    </w:div>
    <w:div w:id="832180875">
      <w:bodyDiv w:val="1"/>
      <w:marLeft w:val="0"/>
      <w:marRight w:val="0"/>
      <w:marTop w:val="0"/>
      <w:marBottom w:val="0"/>
      <w:divBdr>
        <w:top w:val="none" w:sz="0" w:space="0" w:color="auto"/>
        <w:left w:val="none" w:sz="0" w:space="0" w:color="auto"/>
        <w:bottom w:val="none" w:sz="0" w:space="0" w:color="auto"/>
        <w:right w:val="none" w:sz="0" w:space="0" w:color="auto"/>
      </w:divBdr>
    </w:div>
    <w:div w:id="848298971">
      <w:bodyDiv w:val="1"/>
      <w:marLeft w:val="0"/>
      <w:marRight w:val="0"/>
      <w:marTop w:val="0"/>
      <w:marBottom w:val="0"/>
      <w:divBdr>
        <w:top w:val="none" w:sz="0" w:space="0" w:color="auto"/>
        <w:left w:val="none" w:sz="0" w:space="0" w:color="auto"/>
        <w:bottom w:val="none" w:sz="0" w:space="0" w:color="auto"/>
        <w:right w:val="none" w:sz="0" w:space="0" w:color="auto"/>
      </w:divBdr>
    </w:div>
    <w:div w:id="872614522">
      <w:bodyDiv w:val="1"/>
      <w:marLeft w:val="0"/>
      <w:marRight w:val="0"/>
      <w:marTop w:val="0"/>
      <w:marBottom w:val="0"/>
      <w:divBdr>
        <w:top w:val="none" w:sz="0" w:space="0" w:color="auto"/>
        <w:left w:val="none" w:sz="0" w:space="0" w:color="auto"/>
        <w:bottom w:val="none" w:sz="0" w:space="0" w:color="auto"/>
        <w:right w:val="none" w:sz="0" w:space="0" w:color="auto"/>
      </w:divBdr>
    </w:div>
    <w:div w:id="896093357">
      <w:bodyDiv w:val="1"/>
      <w:marLeft w:val="0"/>
      <w:marRight w:val="0"/>
      <w:marTop w:val="0"/>
      <w:marBottom w:val="0"/>
      <w:divBdr>
        <w:top w:val="none" w:sz="0" w:space="0" w:color="auto"/>
        <w:left w:val="none" w:sz="0" w:space="0" w:color="auto"/>
        <w:bottom w:val="none" w:sz="0" w:space="0" w:color="auto"/>
        <w:right w:val="none" w:sz="0" w:space="0" w:color="auto"/>
      </w:divBdr>
      <w:divsChild>
        <w:div w:id="392002137">
          <w:marLeft w:val="720"/>
          <w:marRight w:val="0"/>
          <w:marTop w:val="100"/>
          <w:marBottom w:val="100"/>
          <w:divBdr>
            <w:top w:val="none" w:sz="0" w:space="0" w:color="auto"/>
            <w:left w:val="none" w:sz="0" w:space="0" w:color="auto"/>
            <w:bottom w:val="none" w:sz="0" w:space="0" w:color="auto"/>
            <w:right w:val="none" w:sz="0" w:space="0" w:color="auto"/>
          </w:divBdr>
        </w:div>
      </w:divsChild>
    </w:div>
    <w:div w:id="968895258">
      <w:bodyDiv w:val="1"/>
      <w:marLeft w:val="0"/>
      <w:marRight w:val="0"/>
      <w:marTop w:val="0"/>
      <w:marBottom w:val="0"/>
      <w:divBdr>
        <w:top w:val="none" w:sz="0" w:space="0" w:color="auto"/>
        <w:left w:val="none" w:sz="0" w:space="0" w:color="auto"/>
        <w:bottom w:val="none" w:sz="0" w:space="0" w:color="auto"/>
        <w:right w:val="none" w:sz="0" w:space="0" w:color="auto"/>
      </w:divBdr>
    </w:div>
    <w:div w:id="1040977673">
      <w:bodyDiv w:val="1"/>
      <w:marLeft w:val="0"/>
      <w:marRight w:val="0"/>
      <w:marTop w:val="0"/>
      <w:marBottom w:val="0"/>
      <w:divBdr>
        <w:top w:val="none" w:sz="0" w:space="0" w:color="auto"/>
        <w:left w:val="none" w:sz="0" w:space="0" w:color="auto"/>
        <w:bottom w:val="none" w:sz="0" w:space="0" w:color="auto"/>
        <w:right w:val="none" w:sz="0" w:space="0" w:color="auto"/>
      </w:divBdr>
      <w:divsChild>
        <w:div w:id="421296567">
          <w:marLeft w:val="720"/>
          <w:marRight w:val="0"/>
          <w:marTop w:val="100"/>
          <w:marBottom w:val="100"/>
          <w:divBdr>
            <w:top w:val="none" w:sz="0" w:space="0" w:color="auto"/>
            <w:left w:val="none" w:sz="0" w:space="0" w:color="auto"/>
            <w:bottom w:val="none" w:sz="0" w:space="0" w:color="auto"/>
            <w:right w:val="none" w:sz="0" w:space="0" w:color="auto"/>
          </w:divBdr>
        </w:div>
      </w:divsChild>
    </w:div>
    <w:div w:id="1101607718">
      <w:bodyDiv w:val="1"/>
      <w:marLeft w:val="0"/>
      <w:marRight w:val="0"/>
      <w:marTop w:val="0"/>
      <w:marBottom w:val="0"/>
      <w:divBdr>
        <w:top w:val="none" w:sz="0" w:space="0" w:color="auto"/>
        <w:left w:val="none" w:sz="0" w:space="0" w:color="auto"/>
        <w:bottom w:val="none" w:sz="0" w:space="0" w:color="auto"/>
        <w:right w:val="none" w:sz="0" w:space="0" w:color="auto"/>
      </w:divBdr>
    </w:div>
    <w:div w:id="1216625009">
      <w:bodyDiv w:val="1"/>
      <w:marLeft w:val="0"/>
      <w:marRight w:val="0"/>
      <w:marTop w:val="0"/>
      <w:marBottom w:val="0"/>
      <w:divBdr>
        <w:top w:val="none" w:sz="0" w:space="0" w:color="auto"/>
        <w:left w:val="none" w:sz="0" w:space="0" w:color="auto"/>
        <w:bottom w:val="none" w:sz="0" w:space="0" w:color="auto"/>
        <w:right w:val="none" w:sz="0" w:space="0" w:color="auto"/>
      </w:divBdr>
      <w:divsChild>
        <w:div w:id="1829592433">
          <w:marLeft w:val="720"/>
          <w:marRight w:val="0"/>
          <w:marTop w:val="100"/>
          <w:marBottom w:val="100"/>
          <w:divBdr>
            <w:top w:val="none" w:sz="0" w:space="0" w:color="auto"/>
            <w:left w:val="none" w:sz="0" w:space="0" w:color="auto"/>
            <w:bottom w:val="none" w:sz="0" w:space="0" w:color="auto"/>
            <w:right w:val="none" w:sz="0" w:space="0" w:color="auto"/>
          </w:divBdr>
        </w:div>
      </w:divsChild>
    </w:div>
    <w:div w:id="1229194593">
      <w:bodyDiv w:val="1"/>
      <w:marLeft w:val="0"/>
      <w:marRight w:val="0"/>
      <w:marTop w:val="0"/>
      <w:marBottom w:val="0"/>
      <w:divBdr>
        <w:top w:val="none" w:sz="0" w:space="0" w:color="auto"/>
        <w:left w:val="none" w:sz="0" w:space="0" w:color="auto"/>
        <w:bottom w:val="none" w:sz="0" w:space="0" w:color="auto"/>
        <w:right w:val="none" w:sz="0" w:space="0" w:color="auto"/>
      </w:divBdr>
    </w:div>
    <w:div w:id="1293367991">
      <w:bodyDiv w:val="1"/>
      <w:marLeft w:val="0"/>
      <w:marRight w:val="0"/>
      <w:marTop w:val="0"/>
      <w:marBottom w:val="0"/>
      <w:divBdr>
        <w:top w:val="none" w:sz="0" w:space="0" w:color="auto"/>
        <w:left w:val="none" w:sz="0" w:space="0" w:color="auto"/>
        <w:bottom w:val="none" w:sz="0" w:space="0" w:color="auto"/>
        <w:right w:val="none" w:sz="0" w:space="0" w:color="auto"/>
      </w:divBdr>
    </w:div>
    <w:div w:id="1428425857">
      <w:bodyDiv w:val="1"/>
      <w:marLeft w:val="0"/>
      <w:marRight w:val="0"/>
      <w:marTop w:val="0"/>
      <w:marBottom w:val="0"/>
      <w:divBdr>
        <w:top w:val="none" w:sz="0" w:space="0" w:color="auto"/>
        <w:left w:val="none" w:sz="0" w:space="0" w:color="auto"/>
        <w:bottom w:val="none" w:sz="0" w:space="0" w:color="auto"/>
        <w:right w:val="none" w:sz="0" w:space="0" w:color="auto"/>
      </w:divBdr>
    </w:div>
    <w:div w:id="1468626846">
      <w:bodyDiv w:val="1"/>
      <w:marLeft w:val="0"/>
      <w:marRight w:val="0"/>
      <w:marTop w:val="0"/>
      <w:marBottom w:val="0"/>
      <w:divBdr>
        <w:top w:val="none" w:sz="0" w:space="0" w:color="auto"/>
        <w:left w:val="none" w:sz="0" w:space="0" w:color="auto"/>
        <w:bottom w:val="none" w:sz="0" w:space="0" w:color="auto"/>
        <w:right w:val="none" w:sz="0" w:space="0" w:color="auto"/>
      </w:divBdr>
    </w:div>
    <w:div w:id="1572813657">
      <w:bodyDiv w:val="1"/>
      <w:marLeft w:val="0"/>
      <w:marRight w:val="0"/>
      <w:marTop w:val="0"/>
      <w:marBottom w:val="0"/>
      <w:divBdr>
        <w:top w:val="none" w:sz="0" w:space="0" w:color="auto"/>
        <w:left w:val="none" w:sz="0" w:space="0" w:color="auto"/>
        <w:bottom w:val="none" w:sz="0" w:space="0" w:color="auto"/>
        <w:right w:val="none" w:sz="0" w:space="0" w:color="auto"/>
      </w:divBdr>
    </w:div>
    <w:div w:id="1584339099">
      <w:bodyDiv w:val="1"/>
      <w:marLeft w:val="0"/>
      <w:marRight w:val="0"/>
      <w:marTop w:val="0"/>
      <w:marBottom w:val="0"/>
      <w:divBdr>
        <w:top w:val="none" w:sz="0" w:space="0" w:color="auto"/>
        <w:left w:val="none" w:sz="0" w:space="0" w:color="auto"/>
        <w:bottom w:val="none" w:sz="0" w:space="0" w:color="auto"/>
        <w:right w:val="none" w:sz="0" w:space="0" w:color="auto"/>
      </w:divBdr>
    </w:div>
    <w:div w:id="1645622016">
      <w:bodyDiv w:val="1"/>
      <w:marLeft w:val="0"/>
      <w:marRight w:val="0"/>
      <w:marTop w:val="0"/>
      <w:marBottom w:val="0"/>
      <w:divBdr>
        <w:top w:val="none" w:sz="0" w:space="0" w:color="auto"/>
        <w:left w:val="none" w:sz="0" w:space="0" w:color="auto"/>
        <w:bottom w:val="none" w:sz="0" w:space="0" w:color="auto"/>
        <w:right w:val="none" w:sz="0" w:space="0" w:color="auto"/>
      </w:divBdr>
      <w:divsChild>
        <w:div w:id="1628851695">
          <w:marLeft w:val="720"/>
          <w:marRight w:val="0"/>
          <w:marTop w:val="100"/>
          <w:marBottom w:val="100"/>
          <w:divBdr>
            <w:top w:val="none" w:sz="0" w:space="0" w:color="auto"/>
            <w:left w:val="none" w:sz="0" w:space="0" w:color="auto"/>
            <w:bottom w:val="none" w:sz="0" w:space="0" w:color="auto"/>
            <w:right w:val="none" w:sz="0" w:space="0" w:color="auto"/>
          </w:divBdr>
        </w:div>
      </w:divsChild>
    </w:div>
    <w:div w:id="1666937207">
      <w:bodyDiv w:val="1"/>
      <w:marLeft w:val="0"/>
      <w:marRight w:val="0"/>
      <w:marTop w:val="0"/>
      <w:marBottom w:val="0"/>
      <w:divBdr>
        <w:top w:val="none" w:sz="0" w:space="0" w:color="auto"/>
        <w:left w:val="none" w:sz="0" w:space="0" w:color="auto"/>
        <w:bottom w:val="none" w:sz="0" w:space="0" w:color="auto"/>
        <w:right w:val="none" w:sz="0" w:space="0" w:color="auto"/>
      </w:divBdr>
    </w:div>
    <w:div w:id="1703896287">
      <w:bodyDiv w:val="1"/>
      <w:marLeft w:val="0"/>
      <w:marRight w:val="0"/>
      <w:marTop w:val="0"/>
      <w:marBottom w:val="0"/>
      <w:divBdr>
        <w:top w:val="none" w:sz="0" w:space="0" w:color="auto"/>
        <w:left w:val="none" w:sz="0" w:space="0" w:color="auto"/>
        <w:bottom w:val="none" w:sz="0" w:space="0" w:color="auto"/>
        <w:right w:val="none" w:sz="0" w:space="0" w:color="auto"/>
      </w:divBdr>
      <w:divsChild>
        <w:div w:id="828056091">
          <w:marLeft w:val="720"/>
          <w:marRight w:val="0"/>
          <w:marTop w:val="100"/>
          <w:marBottom w:val="100"/>
          <w:divBdr>
            <w:top w:val="none" w:sz="0" w:space="0" w:color="auto"/>
            <w:left w:val="none" w:sz="0" w:space="0" w:color="auto"/>
            <w:bottom w:val="none" w:sz="0" w:space="0" w:color="auto"/>
            <w:right w:val="none" w:sz="0" w:space="0" w:color="auto"/>
          </w:divBdr>
        </w:div>
      </w:divsChild>
    </w:div>
    <w:div w:id="1748918215">
      <w:bodyDiv w:val="1"/>
      <w:marLeft w:val="0"/>
      <w:marRight w:val="0"/>
      <w:marTop w:val="0"/>
      <w:marBottom w:val="0"/>
      <w:divBdr>
        <w:top w:val="none" w:sz="0" w:space="0" w:color="auto"/>
        <w:left w:val="none" w:sz="0" w:space="0" w:color="auto"/>
        <w:bottom w:val="none" w:sz="0" w:space="0" w:color="auto"/>
        <w:right w:val="none" w:sz="0" w:space="0" w:color="auto"/>
      </w:divBdr>
      <w:divsChild>
        <w:div w:id="1007440820">
          <w:marLeft w:val="720"/>
          <w:marRight w:val="0"/>
          <w:marTop w:val="100"/>
          <w:marBottom w:val="100"/>
          <w:divBdr>
            <w:top w:val="none" w:sz="0" w:space="0" w:color="auto"/>
            <w:left w:val="none" w:sz="0" w:space="0" w:color="auto"/>
            <w:bottom w:val="none" w:sz="0" w:space="0" w:color="auto"/>
            <w:right w:val="none" w:sz="0" w:space="0" w:color="auto"/>
          </w:divBdr>
        </w:div>
      </w:divsChild>
    </w:div>
    <w:div w:id="1757286792">
      <w:bodyDiv w:val="1"/>
      <w:marLeft w:val="0"/>
      <w:marRight w:val="0"/>
      <w:marTop w:val="0"/>
      <w:marBottom w:val="0"/>
      <w:divBdr>
        <w:top w:val="none" w:sz="0" w:space="0" w:color="auto"/>
        <w:left w:val="none" w:sz="0" w:space="0" w:color="auto"/>
        <w:bottom w:val="none" w:sz="0" w:space="0" w:color="auto"/>
        <w:right w:val="none" w:sz="0" w:space="0" w:color="auto"/>
      </w:divBdr>
    </w:div>
    <w:div w:id="1769158856">
      <w:bodyDiv w:val="1"/>
      <w:marLeft w:val="0"/>
      <w:marRight w:val="0"/>
      <w:marTop w:val="0"/>
      <w:marBottom w:val="0"/>
      <w:divBdr>
        <w:top w:val="none" w:sz="0" w:space="0" w:color="auto"/>
        <w:left w:val="none" w:sz="0" w:space="0" w:color="auto"/>
        <w:bottom w:val="none" w:sz="0" w:space="0" w:color="auto"/>
        <w:right w:val="none" w:sz="0" w:space="0" w:color="auto"/>
      </w:divBdr>
      <w:divsChild>
        <w:div w:id="1467968491">
          <w:marLeft w:val="720"/>
          <w:marRight w:val="0"/>
          <w:marTop w:val="100"/>
          <w:marBottom w:val="100"/>
          <w:divBdr>
            <w:top w:val="none" w:sz="0" w:space="0" w:color="auto"/>
            <w:left w:val="none" w:sz="0" w:space="0" w:color="auto"/>
            <w:bottom w:val="none" w:sz="0" w:space="0" w:color="auto"/>
            <w:right w:val="none" w:sz="0" w:space="0" w:color="auto"/>
          </w:divBdr>
        </w:div>
      </w:divsChild>
    </w:div>
    <w:div w:id="1800953712">
      <w:bodyDiv w:val="1"/>
      <w:marLeft w:val="0"/>
      <w:marRight w:val="0"/>
      <w:marTop w:val="0"/>
      <w:marBottom w:val="0"/>
      <w:divBdr>
        <w:top w:val="none" w:sz="0" w:space="0" w:color="auto"/>
        <w:left w:val="none" w:sz="0" w:space="0" w:color="auto"/>
        <w:bottom w:val="none" w:sz="0" w:space="0" w:color="auto"/>
        <w:right w:val="none" w:sz="0" w:space="0" w:color="auto"/>
      </w:divBdr>
    </w:div>
    <w:div w:id="1820808655">
      <w:bodyDiv w:val="1"/>
      <w:marLeft w:val="0"/>
      <w:marRight w:val="0"/>
      <w:marTop w:val="0"/>
      <w:marBottom w:val="0"/>
      <w:divBdr>
        <w:top w:val="none" w:sz="0" w:space="0" w:color="auto"/>
        <w:left w:val="none" w:sz="0" w:space="0" w:color="auto"/>
        <w:bottom w:val="none" w:sz="0" w:space="0" w:color="auto"/>
        <w:right w:val="none" w:sz="0" w:space="0" w:color="auto"/>
      </w:divBdr>
    </w:div>
    <w:div w:id="1823765933">
      <w:bodyDiv w:val="1"/>
      <w:marLeft w:val="0"/>
      <w:marRight w:val="0"/>
      <w:marTop w:val="0"/>
      <w:marBottom w:val="0"/>
      <w:divBdr>
        <w:top w:val="none" w:sz="0" w:space="0" w:color="auto"/>
        <w:left w:val="none" w:sz="0" w:space="0" w:color="auto"/>
        <w:bottom w:val="none" w:sz="0" w:space="0" w:color="auto"/>
        <w:right w:val="none" w:sz="0" w:space="0" w:color="auto"/>
      </w:divBdr>
      <w:divsChild>
        <w:div w:id="894314427">
          <w:marLeft w:val="720"/>
          <w:marRight w:val="0"/>
          <w:marTop w:val="100"/>
          <w:marBottom w:val="100"/>
          <w:divBdr>
            <w:top w:val="none" w:sz="0" w:space="0" w:color="auto"/>
            <w:left w:val="none" w:sz="0" w:space="0" w:color="auto"/>
            <w:bottom w:val="none" w:sz="0" w:space="0" w:color="auto"/>
            <w:right w:val="none" w:sz="0" w:space="0" w:color="auto"/>
          </w:divBdr>
        </w:div>
      </w:divsChild>
    </w:div>
    <w:div w:id="1988363580">
      <w:bodyDiv w:val="1"/>
      <w:marLeft w:val="0"/>
      <w:marRight w:val="0"/>
      <w:marTop w:val="0"/>
      <w:marBottom w:val="0"/>
      <w:divBdr>
        <w:top w:val="none" w:sz="0" w:space="0" w:color="auto"/>
        <w:left w:val="none" w:sz="0" w:space="0" w:color="auto"/>
        <w:bottom w:val="none" w:sz="0" w:space="0" w:color="auto"/>
        <w:right w:val="none" w:sz="0" w:space="0" w:color="auto"/>
      </w:divBdr>
    </w:div>
    <w:div w:id="2037728299">
      <w:bodyDiv w:val="1"/>
      <w:marLeft w:val="0"/>
      <w:marRight w:val="0"/>
      <w:marTop w:val="0"/>
      <w:marBottom w:val="0"/>
      <w:divBdr>
        <w:top w:val="none" w:sz="0" w:space="0" w:color="auto"/>
        <w:left w:val="none" w:sz="0" w:space="0" w:color="auto"/>
        <w:bottom w:val="none" w:sz="0" w:space="0" w:color="auto"/>
        <w:right w:val="none" w:sz="0" w:space="0" w:color="auto"/>
      </w:divBdr>
    </w:div>
    <w:div w:id="2062168652">
      <w:bodyDiv w:val="1"/>
      <w:marLeft w:val="0"/>
      <w:marRight w:val="0"/>
      <w:marTop w:val="0"/>
      <w:marBottom w:val="0"/>
      <w:divBdr>
        <w:top w:val="none" w:sz="0" w:space="0" w:color="auto"/>
        <w:left w:val="none" w:sz="0" w:space="0" w:color="auto"/>
        <w:bottom w:val="none" w:sz="0" w:space="0" w:color="auto"/>
        <w:right w:val="none" w:sz="0" w:space="0" w:color="auto"/>
      </w:divBdr>
    </w:div>
    <w:div w:id="2080710124">
      <w:bodyDiv w:val="1"/>
      <w:marLeft w:val="0"/>
      <w:marRight w:val="0"/>
      <w:marTop w:val="0"/>
      <w:marBottom w:val="0"/>
      <w:divBdr>
        <w:top w:val="none" w:sz="0" w:space="0" w:color="auto"/>
        <w:left w:val="none" w:sz="0" w:space="0" w:color="auto"/>
        <w:bottom w:val="none" w:sz="0" w:space="0" w:color="auto"/>
        <w:right w:val="none" w:sz="0" w:space="0" w:color="auto"/>
      </w:divBdr>
    </w:div>
    <w:div w:id="2115973394">
      <w:bodyDiv w:val="1"/>
      <w:marLeft w:val="0"/>
      <w:marRight w:val="0"/>
      <w:marTop w:val="0"/>
      <w:marBottom w:val="0"/>
      <w:divBdr>
        <w:top w:val="none" w:sz="0" w:space="0" w:color="auto"/>
        <w:left w:val="none" w:sz="0" w:space="0" w:color="auto"/>
        <w:bottom w:val="none" w:sz="0" w:space="0" w:color="auto"/>
        <w:right w:val="none" w:sz="0" w:space="0" w:color="auto"/>
      </w:divBdr>
    </w:div>
    <w:div w:id="2128699027">
      <w:bodyDiv w:val="1"/>
      <w:marLeft w:val="0"/>
      <w:marRight w:val="0"/>
      <w:marTop w:val="0"/>
      <w:marBottom w:val="0"/>
      <w:divBdr>
        <w:top w:val="none" w:sz="0" w:space="0" w:color="auto"/>
        <w:left w:val="none" w:sz="0" w:space="0" w:color="auto"/>
        <w:bottom w:val="none" w:sz="0" w:space="0" w:color="auto"/>
        <w:right w:val="none" w:sz="0" w:space="0" w:color="auto"/>
      </w:divBdr>
      <w:divsChild>
        <w:div w:id="235365839">
          <w:marLeft w:val="720"/>
          <w:marRight w:val="0"/>
          <w:marTop w:val="100"/>
          <w:marBottom w:val="10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epeeglobal.us13.list-manage.com/track/click?u=f8bc826a837ccc9b1b9a47b5c&amp;id=8d5f2612cf&amp;e=802e4750f5" TargetMode="External"/><Relationship Id="rId26" Type="http://schemas.openxmlformats.org/officeDocument/2006/relationships/hyperlink" Target="https://epeeglobal.us13.list-manage.com/track/click?u=f8bc826a837ccc9b1b9a47b5c&amp;id=41a28eb96a&amp;e=802e4750f5" TargetMode="External"/><Relationship Id="rId39" Type="http://schemas.openxmlformats.org/officeDocument/2006/relationships/hyperlink" Target="https://epeeglobal.us13.list-manage.com/track/click?u=f8bc826a837ccc9b1b9a47b5c&amp;id=626f101b10&amp;e=802e4750f5" TargetMode="External"/><Relationship Id="rId21" Type="http://schemas.openxmlformats.org/officeDocument/2006/relationships/hyperlink" Target="https://epeeglobal.us13.list-manage.com/track/click?u=f8bc826a837ccc9b1b9a47b5c&amp;id=b96f056e31&amp;e=802e4750f5" TargetMode="External"/><Relationship Id="rId34" Type="http://schemas.openxmlformats.org/officeDocument/2006/relationships/hyperlink" Target="https://epeeglobal.us13.list-manage.com/track/click?u=f8bc826a837ccc9b1b9a47b5c&amp;id=3d8c977006&amp;e=802e4750f5" TargetMode="External"/><Relationship Id="rId42" Type="http://schemas.openxmlformats.org/officeDocument/2006/relationships/hyperlink" Target="https://epeeglobal.us13.list-manage.com/track/click?u=f8bc826a837ccc9b1b9a47b5c&amp;id=66f07dbba6&amp;e=802e4750f5" TargetMode="External"/><Relationship Id="rId47" Type="http://schemas.openxmlformats.org/officeDocument/2006/relationships/hyperlink" Target="https://epeeglobal.us13.list-manage.com/track/click?u=f8bc826a837ccc9b1b9a47b5c&amp;id=ba389caad1&amp;e=802e4750f5" TargetMode="External"/><Relationship Id="rId50" Type="http://schemas.openxmlformats.org/officeDocument/2006/relationships/hyperlink" Target="https://epeeglobal.us13.list-manage.com/track/click?u=f8bc826a837ccc9b1b9a47b5c&amp;id=c5bada66c9&amp;e=802e4750f5" TargetMode="External"/><Relationship Id="rId55" Type="http://schemas.openxmlformats.org/officeDocument/2006/relationships/hyperlink" Target="https://epeeglobal.us13.list-manage.com/track/click?u=f8bc826a837ccc9b1b9a47b5c&amp;id=6c59c2fcd4&amp;e=802e4750f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peeglobal.us13.list-manage.com/track/click?u=f8bc826a837ccc9b1b9a47b5c&amp;id=509c7ed350&amp;e=802e4750f5" TargetMode="External"/><Relationship Id="rId29" Type="http://schemas.openxmlformats.org/officeDocument/2006/relationships/hyperlink" Target="https://epeeglobal.us13.list-manage.com/track/click?u=f8bc826a837ccc9b1b9a47b5c&amp;id=318dacf609&amp;e=802e4750f5" TargetMode="External"/><Relationship Id="rId11" Type="http://schemas.openxmlformats.org/officeDocument/2006/relationships/image" Target="media/image2.png"/><Relationship Id="rId24" Type="http://schemas.openxmlformats.org/officeDocument/2006/relationships/hyperlink" Target="https://epeeglobal.us13.list-manage.com/track/click?u=f8bc826a837ccc9b1b9a47b5c&amp;id=6bcc3ab72b&amp;e=802e4750f5" TargetMode="External"/><Relationship Id="rId32" Type="http://schemas.openxmlformats.org/officeDocument/2006/relationships/hyperlink" Target="https://epeeglobal.us13.list-manage.com/track/click?u=f8bc826a837ccc9b1b9a47b5c&amp;id=11e6410f2f&amp;e=802e4750f5" TargetMode="External"/><Relationship Id="rId37" Type="http://schemas.openxmlformats.org/officeDocument/2006/relationships/hyperlink" Target="https://epeeglobal.us13.list-manage.com/track/click?u=f8bc826a837ccc9b1b9a47b5c&amp;id=32ce169f98&amp;e=802e4750f5" TargetMode="External"/><Relationship Id="rId40" Type="http://schemas.openxmlformats.org/officeDocument/2006/relationships/hyperlink" Target="https://epeeglobal.us13.list-manage.com/track/click?u=f8bc826a837ccc9b1b9a47b5c&amp;id=d2bd88c554&amp;e=802e4750f5" TargetMode="External"/><Relationship Id="rId45" Type="http://schemas.openxmlformats.org/officeDocument/2006/relationships/hyperlink" Target="https://epeeglobal.us13.list-manage.com/track/click?u=f8bc826a837ccc9b1b9a47b5c&amp;id=a35dfd3558&amp;e=802e4750f5" TargetMode="External"/><Relationship Id="rId53" Type="http://schemas.openxmlformats.org/officeDocument/2006/relationships/hyperlink" Target="https://epeeglobal.us13.list-manage.com/track/click?u=f8bc826a837ccc9b1b9a47b5c&amp;id=b05884cf54&amp;e=802e4750f5" TargetMode="External"/><Relationship Id="rId58" Type="http://schemas.openxmlformats.org/officeDocument/2006/relationships/hyperlink" Target="https://epeeglobal.us13.list-manage.com/track/click?u=f8bc826a837ccc9b1b9a47b5c&amp;id=3fa8cc540c&amp;e=802e4750f5"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6.jpeg"/><Relationship Id="rId14" Type="http://schemas.openxmlformats.org/officeDocument/2006/relationships/image" Target="media/image4.png"/><Relationship Id="rId22" Type="http://schemas.openxmlformats.org/officeDocument/2006/relationships/hyperlink" Target="https://epeeglobal.us13.list-manage.com/track/click?u=f8bc826a837ccc9b1b9a47b5c&amp;id=59e98b3487&amp;e=802e4750f5" TargetMode="External"/><Relationship Id="rId27" Type="http://schemas.openxmlformats.org/officeDocument/2006/relationships/hyperlink" Target="https://epeeglobal.us13.list-manage.com/track/click?u=f8bc826a837ccc9b1b9a47b5c&amp;id=69c4b3e719&amp;e=802e4750f5" TargetMode="External"/><Relationship Id="rId30" Type="http://schemas.openxmlformats.org/officeDocument/2006/relationships/hyperlink" Target="https://epeeglobal.us13.list-manage.com/track/click?u=f8bc826a837ccc9b1b9a47b5c&amp;id=6a91a547ea&amp;e=802e4750f5" TargetMode="External"/><Relationship Id="rId35" Type="http://schemas.openxmlformats.org/officeDocument/2006/relationships/hyperlink" Target="https://epeeglobal.us13.list-manage.com/track/click?u=f8bc826a837ccc9b1b9a47b5c&amp;id=00bcf2092a&amp;e=802e4750f5" TargetMode="External"/><Relationship Id="rId43" Type="http://schemas.openxmlformats.org/officeDocument/2006/relationships/hyperlink" Target="https://epeeglobal.us13.list-manage.com/track/click?u=f8bc826a837ccc9b1b9a47b5c&amp;id=5c349d92d0&amp;e=802e4750f5" TargetMode="External"/><Relationship Id="rId48" Type="http://schemas.openxmlformats.org/officeDocument/2006/relationships/hyperlink" Target="https://epeeglobal.us13.list-manage.com/track/click?u=f8bc826a837ccc9b1b9a47b5c&amp;id=28a98b71c0&amp;e=802e4750f5" TargetMode="External"/><Relationship Id="rId56" Type="http://schemas.openxmlformats.org/officeDocument/2006/relationships/hyperlink" Target="https://epeeglobal.us13.list-manage.com/track/click?u=f8bc826a837ccc9b1b9a47b5c&amp;id=5e2469a056&amp;e=802e4750f5" TargetMode="External"/><Relationship Id="rId8" Type="http://schemas.openxmlformats.org/officeDocument/2006/relationships/hyperlink" Target="https://epeeglobal.us13.list-manage.com/track/click?u=f8bc826a837ccc9b1b9a47b5c&amp;id=49a0b9a199&amp;e=802e4750f5" TargetMode="External"/><Relationship Id="rId51" Type="http://schemas.openxmlformats.org/officeDocument/2006/relationships/hyperlink" Target="https://epeeglobal.us13.list-manage.com/track/click?u=f8bc826a837ccc9b1b9a47b5c&amp;id=756fb3277b&amp;e=802e4750f5" TargetMode="External"/><Relationship Id="rId3" Type="http://schemas.openxmlformats.org/officeDocument/2006/relationships/styles" Target="styles.xml"/><Relationship Id="rId12" Type="http://schemas.openxmlformats.org/officeDocument/2006/relationships/hyperlink" Target="https://epeeglobal.us13.list-manage.com/track/click?u=f8bc826a837ccc9b1b9a47b5c&amp;id=a0e7c5e24a&amp;e=802e4750f5" TargetMode="External"/><Relationship Id="rId17" Type="http://schemas.openxmlformats.org/officeDocument/2006/relationships/hyperlink" Target="https://epeeglobal.us13.list-manage.com/track/click?u=f8bc826a837ccc9b1b9a47b5c&amp;id=e83c1d5e2b&amp;e=802e4750f5" TargetMode="External"/><Relationship Id="rId25" Type="http://schemas.openxmlformats.org/officeDocument/2006/relationships/image" Target="media/image7.png"/><Relationship Id="rId33" Type="http://schemas.openxmlformats.org/officeDocument/2006/relationships/hyperlink" Target="https://epeeglobal.us13.list-manage.com/track/click?u=f8bc826a837ccc9b1b9a47b5c&amp;id=6f0b59e73e&amp;e=802e4750f5" TargetMode="External"/><Relationship Id="rId38" Type="http://schemas.openxmlformats.org/officeDocument/2006/relationships/hyperlink" Target="https://epeeglobal.us13.list-manage.com/track/click?u=f8bc826a837ccc9b1b9a47b5c&amp;id=4a87eb8188&amp;e=802e4750f5" TargetMode="External"/><Relationship Id="rId46" Type="http://schemas.openxmlformats.org/officeDocument/2006/relationships/hyperlink" Target="https://epeeglobal.us13.list-manage.com/track/click?u=f8bc826a837ccc9b1b9a47b5c&amp;id=d31427167c&amp;e=802e4750f5" TargetMode="External"/><Relationship Id="rId59" Type="http://schemas.openxmlformats.org/officeDocument/2006/relationships/footer" Target="footer1.xml"/><Relationship Id="rId20" Type="http://schemas.openxmlformats.org/officeDocument/2006/relationships/hyperlink" Target="https://epeeglobal.us13.list-manage.com/track/click?u=f8bc826a837ccc9b1b9a47b5c&amp;id=9bef62f2aa&amp;e=802e4750f5" TargetMode="External"/><Relationship Id="rId41" Type="http://schemas.openxmlformats.org/officeDocument/2006/relationships/hyperlink" Target="https://epeeglobal.us13.list-manage.com/track/click?u=f8bc826a837ccc9b1b9a47b5c&amp;id=cf97d2f9ec&amp;e=802e4750f5" TargetMode="External"/><Relationship Id="rId54" Type="http://schemas.openxmlformats.org/officeDocument/2006/relationships/hyperlink" Target="https://epeeglobal.us13.list-manage.com/track/click?u=f8bc826a837ccc9b1b9a47b5c&amp;id=153a888e4d&amp;e=802e4750f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epeeglobal.us13.list-manage.com/track/click?u=f8bc826a837ccc9b1b9a47b5c&amp;id=2daba6234f&amp;e=802e4750f5" TargetMode="External"/><Relationship Id="rId28" Type="http://schemas.openxmlformats.org/officeDocument/2006/relationships/hyperlink" Target="https://epeeglobal.us13.list-manage.com/track/click?u=f8bc826a837ccc9b1b9a47b5c&amp;id=8dd19ac307&amp;e=802e4750f5" TargetMode="External"/><Relationship Id="rId36" Type="http://schemas.openxmlformats.org/officeDocument/2006/relationships/hyperlink" Target="https://epeeglobal.us13.list-manage.com/track/click?u=f8bc826a837ccc9b1b9a47b5c&amp;id=04f1ffcee7&amp;e=802e4750f5" TargetMode="External"/><Relationship Id="rId49" Type="http://schemas.openxmlformats.org/officeDocument/2006/relationships/hyperlink" Target="https://epeeglobal.us13.list-manage.com/track/click?u=f8bc826a837ccc9b1b9a47b5c&amp;id=ba0e795455&amp;e=802e4750f5" TargetMode="External"/><Relationship Id="rId57" Type="http://schemas.openxmlformats.org/officeDocument/2006/relationships/hyperlink" Target="https://epeeglobal.us13.list-manage.com/track/click?u=f8bc826a837ccc9b1b9a47b5c&amp;id=691619a127&amp;e=802e4750f5" TargetMode="External"/><Relationship Id="rId10" Type="http://schemas.openxmlformats.org/officeDocument/2006/relationships/hyperlink" Target="https://epeeglobal.us13.list-manage.com/track/click?u=f8bc826a837ccc9b1b9a47b5c&amp;id=8bee81f247&amp;e=802e4750f5" TargetMode="External"/><Relationship Id="rId31" Type="http://schemas.openxmlformats.org/officeDocument/2006/relationships/hyperlink" Target="https://epeeglobal.us13.list-manage.com/track/click?u=f8bc826a837ccc9b1b9a47b5c&amp;id=7bbb50d7dc&amp;e=802e4750f5" TargetMode="External"/><Relationship Id="rId44" Type="http://schemas.openxmlformats.org/officeDocument/2006/relationships/hyperlink" Target="https://epeeglobal.us13.list-manage.com/track/click?u=f8bc826a837ccc9b1b9a47b5c&amp;id=b68d57396b&amp;e=802e4750f5" TargetMode="External"/><Relationship Id="rId52" Type="http://schemas.openxmlformats.org/officeDocument/2006/relationships/hyperlink" Target="https://epeeglobal.us13.list-manage.com/track/click?u=f8bc826a837ccc9b1b9a47b5c&amp;id=5688d7e384&amp;e=802e4750f5"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F94C-39C0-4083-B77C-7E13C352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6232</Words>
  <Characters>37392</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Zakępska</dc:creator>
  <cp:keywords/>
  <dc:description/>
  <cp:lastModifiedBy>Dorota Zakępska</cp:lastModifiedBy>
  <cp:revision>3</cp:revision>
  <cp:lastPrinted>2022-03-08T11:53:00Z</cp:lastPrinted>
  <dcterms:created xsi:type="dcterms:W3CDTF">2022-07-27T09:37:00Z</dcterms:created>
  <dcterms:modified xsi:type="dcterms:W3CDTF">2022-07-27T09:37:00Z</dcterms:modified>
</cp:coreProperties>
</file>