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B4987" w14:paraId="25F2B71B" w14:textId="77777777" w:rsidTr="00AB4987">
        <w:trPr>
          <w:jc w:val="center"/>
          <w:hidden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4987" w14:paraId="2167FE93" w14:textId="77777777">
              <w:trPr>
                <w:jc w:val="center"/>
                <w:hidden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4987" w14:paraId="63217062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</w:tcPr>
                      <w:p w14:paraId="6B41EA0A" w14:textId="77777777" w:rsidR="00AB4987" w:rsidRDefault="00AB4987" w:rsidP="00AB498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B4987" w14:paraId="2629F0B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AB4987" w14:paraId="0BB12D3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5ABC7A6A" w14:textId="37367C98" w:rsidR="00AB4987" w:rsidRDefault="00AB4987" w:rsidP="00AB49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83303F3" wp14:editId="190A3240">
                                          <wp:extent cx="5372100" cy="1162050"/>
                                          <wp:effectExtent l="0" t="0" r="0" b="0"/>
                                          <wp:docPr id="8" name="Obraz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1162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2088B9" w14:textId="77777777" w:rsidR="00AB4987" w:rsidRDefault="00AB4987" w:rsidP="00AB498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041EE1" w14:textId="77777777" w:rsidR="00AB4987" w:rsidRDefault="00AB4987" w:rsidP="00AB498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E146DB" w14:textId="77777777" w:rsidR="00AB4987" w:rsidRDefault="00AB4987" w:rsidP="00AB49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9E1E07" w14:textId="77777777" w:rsidR="00AB4987" w:rsidRDefault="00AB4987" w:rsidP="00AB49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987" w14:paraId="347F4DCE" w14:textId="77777777" w:rsidTr="00AB498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AB4987" w14:paraId="735A5908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AB4987" w14:paraId="36012AF6" w14:textId="77777777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</w:tblGrid>
                        <w:tr w:rsidR="00AB4987" w14:paraId="5BB8600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6"/>
                              </w:tblGrid>
                              <w:tr w:rsidR="00AB4987" w14:paraId="30F9A1CF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6"/>
                                    </w:tblGrid>
                                    <w:tr w:rsidR="00AB4987" w14:paraId="713544D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6B674200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Pogrubienie"/>
                                              <w:rFonts w:ascii="Open Sans" w:hAnsi="Open Sans" w:cs="Open Sans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22 March 2022</w:t>
                                          </w:r>
                                          <w:r>
                                            <w:rPr>
                                              <w:rFonts w:ascii="Open Sans" w:hAnsi="Open Sans" w:cs="Open Sans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735BE6DE" w14:textId="4445D1AD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Open Sans" w:hAnsi="Open Sans" w:cs="Open Sans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Dear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Open Sans" w:hAnsi="Open Sans" w:cs="Open Sans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 xml:space="preserve"> EPEE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Open Sans" w:hAnsi="Open Sans" w:cs="Open Sans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Members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Open Sans" w:hAnsi="Open Sans" w:cs="Open Sans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, </w:t>
                                          </w:r>
                                        </w:p>
                                        <w:p w14:paraId="27B4D001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week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27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Government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a </w:t>
                                          </w:r>
                                          <w:hyperlink r:id="rId9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meeting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of the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European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Council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topic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again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atrocious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war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Ukraine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itself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dependence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fossil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fuels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Russia. </w:t>
                                          </w:r>
                                        </w:p>
                                        <w:p w14:paraId="5E9C8BDB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prepare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-term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-term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measures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independence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published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Communication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REPowerEU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below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prominently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features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goal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installing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30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additional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2030 in the EU. </w:t>
                                          </w:r>
                                        </w:p>
                                        <w:p w14:paraId="36AE3410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EPEE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published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hyperlink r:id="rId11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statement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welcoming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recognition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most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effective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efficient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technology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solve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challenges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heating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cooling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 </w:t>
                                          </w:r>
                                        </w:p>
                                        <w:p w14:paraId="54102C0B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But: </w:t>
                                          </w:r>
                                        </w:p>
                                        <w:p w14:paraId="0B7680DC" w14:textId="77777777" w:rsidR="00AB4987" w:rsidRDefault="00AB4987" w:rsidP="00AB4987">
                                          <w:pPr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30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goal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only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takes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account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-to-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ignores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many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pump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technologies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huge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contribution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5C3A29BF" w14:textId="77777777" w:rsidR="00AB4987" w:rsidRDefault="00AB4987" w:rsidP="00AB4987">
                                          <w:pPr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At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very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moment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discussing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massively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accelerate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pump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roll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out,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discussing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review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F-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seriously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jeopardize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roll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out. </w:t>
                                          </w:r>
                                        </w:p>
                                        <w:p w14:paraId="3E607C92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EPEE,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close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collaboration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the </w:t>
                                          </w:r>
                                          <w:hyperlink r:id="rId12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European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Pump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Association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closely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monitor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developments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weeks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months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follow-up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REPowerEU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expected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May. </w:t>
                                          </w:r>
                                        </w:p>
                                        <w:p w14:paraId="1697D45E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Best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regards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, </w:t>
                                          </w:r>
                                        </w:p>
                                        <w:p w14:paraId="59BAE021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Folker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Franz,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Director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General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9F4A7F" w14:textId="77777777" w:rsidR="00AB4987" w:rsidRDefault="00AB4987" w:rsidP="00AB498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C15A76" w14:textId="77777777" w:rsidR="00AB4987" w:rsidRDefault="00AB4987" w:rsidP="00AB498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488319" w14:textId="77777777" w:rsidR="00AB4987" w:rsidRDefault="00AB4987" w:rsidP="00AB498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</w:tblGrid>
                        <w:tr w:rsidR="00AB4987" w14:paraId="4B9C3959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6"/>
                              </w:tblGrid>
                              <w:tr w:rsidR="00AB4987" w14:paraId="468D3801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37DA2369" w14:textId="77777777" w:rsidR="00AB4987" w:rsidRDefault="00AB4987" w:rsidP="00AB498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AA556E" w14:textId="77777777" w:rsidR="00AB4987" w:rsidRDefault="00AB4987" w:rsidP="00AB498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50E3BF" w14:textId="77777777" w:rsidR="00AB4987" w:rsidRDefault="00AB4987" w:rsidP="00AB498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</w:tblGrid>
                        <w:tr w:rsidR="00AB4987" w14:paraId="74963E1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6"/>
                              </w:tblGrid>
                              <w:tr w:rsidR="00AB4987" w14:paraId="66249858" w14:textId="77777777">
                                <w:tc>
                                  <w:tcPr>
                                    <w:tcW w:w="0" w:type="auto"/>
                                    <w:shd w:val="clear" w:color="auto" w:fill="F4FDF4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B4987" w14:paraId="12241C80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13DFD1E" w14:textId="4A1899E6" w:rsidR="00AB4987" w:rsidRDefault="00AB4987" w:rsidP="00AB498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82B3AC0" wp14:editId="31E21A52">
                                                <wp:extent cx="1885950" cy="1190625"/>
                                                <wp:effectExtent l="0" t="0" r="0" b="0"/>
                                                <wp:docPr id="7" name="Obraz 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85950" cy="1190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1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90"/>
                                    </w:tblGrid>
                                    <w:tr w:rsidR="00AB4987" w14:paraId="27DD778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0E66219C" w14:textId="77777777" w:rsidR="00AB4987" w:rsidRDefault="00AB4987" w:rsidP="00AB4987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8080"/>
                                              <w:sz w:val="36"/>
                                              <w:szCs w:val="36"/>
                                            </w:rPr>
                                            <w:t>WHAT'S NEW IN THE EU </w:t>
                                          </w:r>
                                        </w:p>
                                        <w:p w14:paraId="7F241F9B" w14:textId="77777777" w:rsidR="00AB4987" w:rsidRDefault="00AB4987" w:rsidP="00AB4987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publishes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REPowerEU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plan, a joint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affordable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secure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sustainable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eastAsia="Times New Roman" w:hAnsi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63EE6AE" w14:textId="77777777" w:rsidR="00AB4987" w:rsidRDefault="00AB4987" w:rsidP="00AB498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F560FB" w14:textId="77777777" w:rsidR="00AB4987" w:rsidRDefault="00AB4987" w:rsidP="00AB498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D81DEB" w14:textId="77777777" w:rsidR="00AB4987" w:rsidRDefault="00AB4987" w:rsidP="00AB498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</w:tblGrid>
                        <w:tr w:rsidR="00AB4987" w14:paraId="3434F182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9350"/>
                              </w:tblGrid>
                              <w:tr w:rsidR="00AB4987" w14:paraId="6010AE93" w14:textId="77777777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8009111" w14:textId="77777777" w:rsidR="00AB4987" w:rsidRDefault="00AB4987" w:rsidP="00AB498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0"/>
                                    </w:tblGrid>
                                    <w:tr w:rsidR="00AB4987" w14:paraId="4C0DE88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4FDF4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AB4987" w14:paraId="5BF835B0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4FDF4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48CA2B11" w14:textId="77777777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On 8 March 2022,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published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Communication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</w:t>
                                                </w:r>
                                                <w:hyperlink r:id="rId14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REPowerEU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plan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make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Europe independent from Russian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fossil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fuels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well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before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2030. </w:t>
                                                </w:r>
                                              </w:p>
                                              <w:p w14:paraId="0EE3089D" w14:textId="77777777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REPowerEU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lays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out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planned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joint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more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affordable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secure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sustainable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One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main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objectives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plan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reduce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demand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Russian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two-thirds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before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end of 2022.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Since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EU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imports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90%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consumption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and Russia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accounts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40%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these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imports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argues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matter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urgency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answer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uncertainty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situation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immediately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reaffirms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necessity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accelerate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transition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14:paraId="36CE35EB" w14:textId="77777777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measures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focus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rising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prices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on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urging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matter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restocking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stocks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winter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2023.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REPowerEU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diversify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supplies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accelerate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development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renewable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replace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heating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power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generation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14:paraId="1FF74BC5" w14:textId="77777777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Regarding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heating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sector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highlight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Communication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announcement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massively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speed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up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rollout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pumps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states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“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help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value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chain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solar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wind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pumps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[…]. By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doubling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planned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yearly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pace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deployment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pumps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first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half of the period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until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2030”.  </w:t>
                                                </w:r>
                                              </w:p>
                                              <w:p w14:paraId="6D227E69" w14:textId="77777777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The EU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plans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reach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10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million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pumps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installations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2027,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which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should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allow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save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12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bcm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year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According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in order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accomplish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market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deployment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pumps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supply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chain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have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upscaled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measures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have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taken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boost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building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renovation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modernisation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district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heating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systems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14:paraId="5F5864AC" w14:textId="77777777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also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underlined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efficiency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first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principle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more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important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ever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saying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“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should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 applied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across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sectors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policies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with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demand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response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measures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completing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those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supply-side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.” </w:t>
                                                </w:r>
                                              </w:p>
                                              <w:p w14:paraId="5D1B154A" w14:textId="77777777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Next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steps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: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present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more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detailed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plan 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how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achieve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objectives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Communication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before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summer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likely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May).  </w:t>
                                                </w:r>
                                              </w:p>
                                              <w:p w14:paraId="730CACEB" w14:textId="4CE8D9CF" w:rsidR="00AB4987" w:rsidRDefault="00AB4987" w:rsidP="00AB498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 wp14:anchorId="1D799771" wp14:editId="47EC3CE4">
                                                      <wp:extent cx="2857500" cy="1905000"/>
                                                      <wp:effectExtent l="0" t="0" r="0" b="0"/>
                                                      <wp:docPr id="6" name="Obraz 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57500" cy="1905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14:paraId="4852A8EF" w14:textId="77777777" w:rsidR="00AB4987" w:rsidRDefault="00AB4987" w:rsidP="00AB498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pict w14:anchorId="5CB38CA9">
                                                    <v:rect id="_x0000_i1039" style="width:470.3pt;height:1.5pt" o:hrstd="t" o:hr="t" fillcolor="#a0a0a0" stroked="f"/>
                                                  </w:pict>
                                                </w:r>
                                              </w:p>
                                              <w:p w14:paraId="2627B284" w14:textId="77777777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C308291" w14:textId="77777777" w:rsidR="00AB4987" w:rsidRDefault="00AB4987" w:rsidP="00AB498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C9DE2C0" w14:textId="77777777" w:rsidR="00AB4987" w:rsidRDefault="00AB4987" w:rsidP="00AB498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061A89" w14:textId="77777777" w:rsidR="00AB4987" w:rsidRDefault="00AB4987" w:rsidP="00AB498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21C5E4" w14:textId="77777777" w:rsidR="00AB4987" w:rsidRDefault="00AB4987" w:rsidP="00AB498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</w:tblGrid>
                        <w:tr w:rsidR="00AB4987" w14:paraId="447A0DCF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9350"/>
                              </w:tblGrid>
                              <w:tr w:rsidR="00AB4987" w14:paraId="16A306EE" w14:textId="77777777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0B1A87A" w14:textId="77777777" w:rsidR="00AB4987" w:rsidRDefault="00AB4987" w:rsidP="00AB498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0"/>
                                    </w:tblGrid>
                                    <w:tr w:rsidR="00AB4987" w14:paraId="5CD0E77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E9FCE9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AB4987" w14:paraId="416C762E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9FCE9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5A99127B" w14:textId="12946A8F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008080"/>
                                                    <w:sz w:val="36"/>
                                                    <w:szCs w:val="36"/>
                                                  </w:rPr>
                                                  <w:t>WORKING GROUPS </w:t>
                                                </w:r>
                                              </w:p>
                                              <w:p w14:paraId="3D66E16F" w14:textId="77777777" w:rsidR="00AB4987" w:rsidRDefault="00AB4987" w:rsidP="00AB498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Open Sans" w:eastAsia="Times New Roman" w:hAnsi="Open Sans" w:cs="Open Sans"/>
                                                    <w:color w:val="008080"/>
                                                    <w:sz w:val="23"/>
                                                    <w:szCs w:val="23"/>
                                                  </w:rPr>
                                                  <w:t>EEE WG:</w:t>
                                                </w:r>
                                                <w:r>
                                                  <w:rPr>
                                                    <w:rFonts w:ascii="Open Sans" w:eastAsia="Times New Roman" w:hAnsi="Open Sans" w:cs="Open Sans"/>
                                                    <w:color w:val="008080"/>
                                                    <w:sz w:val="23"/>
                                                    <w:szCs w:val="23"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  <w:p w14:paraId="2EE3369E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0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pump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manufacturing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questionnaire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Following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announcements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made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RePowerEU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communication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see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Article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above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),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Pump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Association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(EHPA)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collecting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information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from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sector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feasibility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targets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readiness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value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chain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overall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policy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framework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EPEE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asks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participate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the </w:t>
                                                </w:r>
                                                <w:hyperlink r:id="rId16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short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survey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better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inform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our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advocacy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work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months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 </w:t>
                                                </w:r>
                                              </w:p>
                                              <w:p w14:paraId="5DB31653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0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Green Deal TF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The EPEE Green Deal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Taskforce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met on 21 March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discuss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revision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Energy Performance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Buildings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Directive (EPBD)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EPEE’s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reaction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RePowerEU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communication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Taskforce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close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finalizing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EPEE’s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position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the EPBD,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which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circulated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the WG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review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due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course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Interested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may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find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presentation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used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meeting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the intranet </w:t>
                                                </w:r>
                                                <w:hyperlink r:id="rId17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here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 </w:t>
                                                </w:r>
                                              </w:p>
                                              <w:p w14:paraId="3A6C6092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0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Joint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letter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RoHS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exemptions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/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RoHS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review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EPEE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co-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sign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letter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presented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Umbrella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Project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circulated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the EEE WG on 10 March,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having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received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no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objections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content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letter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asks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renewal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exemptions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concerning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PTCs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used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compressors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heating,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refrigeration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air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conditioners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Furthermore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the Secretariat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would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like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highlight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on-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going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public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consultation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revision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RoHS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Directive,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which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open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until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June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2022. We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highly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participation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individual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companies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 </w:t>
                                                </w:r>
                                              </w:p>
                                              <w:p w14:paraId="6AC18286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0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Renew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Europe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webinar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EPBD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revision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On 16 March,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Renew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Europe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political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group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Parliament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held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event on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revision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Energy Performance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Buildings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Directive (EPBD),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hosted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group’s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shadow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rapporteur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the file, MEP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Morten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Helveg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Petersen.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Jürgen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Fischer,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Chairman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EPEE, was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present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the panel,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highlighting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huge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advantages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pump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technologies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Interested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may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find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recording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webinar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hyperlink r:id="rId19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here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 </w:t>
                                                </w:r>
                                              </w:p>
                                              <w:p w14:paraId="1CB94572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0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Cambridge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Econometrics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report 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building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electrification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A report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published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17 March by Cambridge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Econometrics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Climate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Foundation,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titled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“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Why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the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transition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to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energy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efficient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and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electrified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buildings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strengthens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Europe's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economy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”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shows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electrifying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renovating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residential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buildings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cut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imports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generate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massive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benefits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economy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The report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concludes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larger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uptake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pumps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greater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socio-economic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benefits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buildings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renovated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pumps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become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dominant heating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technology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following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benefits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delivered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2050: 1) A 50%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reduction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average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heating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bills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2) 1%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increase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annual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GDP, 3) 1.2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million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net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additional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jobs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Furthermore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the report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shows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pumps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district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heating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solar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thermal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cost-competitive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options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consumers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due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reduced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spending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while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green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hydrogen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boilers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most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expensive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technology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due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high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costs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14:paraId="0AA9D612" w14:textId="77777777" w:rsidR="00AB4987" w:rsidRDefault="00AB4987" w:rsidP="00AB498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30863819" w14:textId="77777777" w:rsidR="00AB4987" w:rsidRDefault="00AB4987" w:rsidP="00AB498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008080"/>
                                                    <w:sz w:val="21"/>
                                                    <w:szCs w:val="21"/>
                                                  </w:rPr>
                                                  <w:t>F-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008080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00808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WG:  </w:t>
                                                </w:r>
                                              </w:p>
                                              <w:p w14:paraId="2822DC78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Regulation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Revision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The Secretariat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understand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DG CLIMA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circulate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new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draft version of the F-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Regulation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revision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week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based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interservice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consultation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feedback.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proposal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expected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adopted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5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April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EPEE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continue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monitor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situation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receive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further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information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In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addition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based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previous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leaked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draft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revision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proposal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Impulse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Team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began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work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detailed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EPEE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position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each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regulation’s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articles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which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also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shared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with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full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WG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comments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document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support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creation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updated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EPEE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position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public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consultation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feedback on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final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Regulation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revision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proposal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which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scheduled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published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5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April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).  </w:t>
                                                </w:r>
                                              </w:p>
                                              <w:p w14:paraId="5C70A2B6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Reaction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REPowerEU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Communication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On 21 March, the Secretariat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published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hyperlink r:id="rId21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eastAsia="Times New Roman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EPEE’s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eastAsia="Times New Roman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eastAsia="Times New Roman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reaction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eastAsia="Times New Roman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to the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eastAsia="Times New Roman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Commission’s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eastAsia="Times New Roman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eastAsia="Times New Roman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REPowerEU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eastAsia="Times New Roman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eastAsia="Times New Roman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Communication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a plan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improve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independence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reaction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emphasises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need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make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pump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technologies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F-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Regulation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revision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must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enable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roll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-out of 50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million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pumps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with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adequate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availability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refrigerants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press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release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shared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with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relevant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Cabinets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week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14:paraId="681F0604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ECHA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Accredited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stakeholder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organisation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EPEE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accepted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official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Accredited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Stakeholder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Organisation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Chemicals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Agency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(ECHA),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greatly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enhancing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our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possibilties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interaction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with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institution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support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upcoming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stakeholder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meetings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welcome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express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their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interest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they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supporting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Policy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Director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) in order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contribute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attend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stakeholder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meetings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0936C8DC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PFAS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webinar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;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The PFAS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webinar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hosted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EPEE on 9 March was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highly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appreciated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national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authorities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attending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Approximately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170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stakeholder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representatives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attended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inlcuding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representative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  5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NCAs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preparing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PFAS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restriction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proposal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DG CLIMA.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Keynote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speakers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event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were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ECHA REACH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restriction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coordinator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Peter Simpson and Carl Dannenberg as PFAS Dossier handler from the German Federal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Institute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Occupational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Safety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Health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BAuA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).</w:t>
                                                </w:r>
                                              </w:p>
                                              <w:p w14:paraId="15C447A3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Socioeconomic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stakeholder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survey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PFAS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: EPEE F-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have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invited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respond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EFCTC’s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socioeconomic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assessment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stakeholder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survey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which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launched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4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April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collect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more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information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the F-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industry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sector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survey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run for 4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weeks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until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 May).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members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have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also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been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given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opportunity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also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participate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EFCTC’s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webinar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23 March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14h00 CET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further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explain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upcoming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survey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interested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stakeholders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express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their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willingness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participate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sending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email to </w:t>
                                                </w: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eco@cefic.be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and/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hyperlink r:id="rId23" w:tgtFrame="_blank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</w:rPr>
                                                    <w:t>EFCTC_SEA@ricardo.com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14:paraId="25FCF608" w14:textId="77777777" w:rsidR="00AB4987" w:rsidRDefault="00AB4987" w:rsidP="00AB498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Open Sans" w:eastAsia="Times New Roman" w:hAnsi="Open Sans" w:cs="Open Sans"/>
                                                    <w:color w:val="008080"/>
                                                    <w:sz w:val="21"/>
                                                    <w:szCs w:val="21"/>
                                                  </w:rPr>
                                                  <w:t>Ecodesign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Open Sans" w:eastAsia="Times New Roman" w:hAnsi="Open Sans" w:cs="Open Sans"/>
                                                    <w:color w:val="00808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WG</w:t>
                                                </w:r>
                                                <w:r>
                                                  <w:rPr>
                                                    <w:rStyle w:val="Pogrubienie"/>
                                                    <w:rFonts w:ascii="Open Sans" w:eastAsia="Times New Roman" w:hAnsi="Open Sans" w:cs="Open Sans"/>
                                                    <w:color w:val="008080"/>
                                                    <w:sz w:val="23"/>
                                                    <w:szCs w:val="23"/>
                                                  </w:rPr>
                                                  <w:t>:</w:t>
                                                </w:r>
                                                <w:r>
                                                  <w:rPr>
                                                    <w:rFonts w:ascii="Open Sans" w:eastAsia="Times New Roman" w:hAnsi="Open Sans" w:cs="Open Sans"/>
                                                    <w:color w:val="008080"/>
                                                    <w:sz w:val="23"/>
                                                    <w:szCs w:val="23"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  <w:p w14:paraId="7477651F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2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ENTR Lot 1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professional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refrigeration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):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WG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Ecodesign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discussing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Global Warming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Potential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condensing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units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reach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out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again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consultants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with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our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elaborated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position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end-March 2022.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scheduled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18 March 2022. </w:t>
                                                </w:r>
                                              </w:p>
                                              <w:p w14:paraId="236F5CC3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2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ENER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Lots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1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space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) and 2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water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)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: 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a)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Working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Group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elaborating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position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MEPS. 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b) The Secretariat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preparing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draft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reply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Calls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Evidence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which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feedback deadline of 31 March 2022.   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videocall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discuss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abovementioned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points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scheduled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24 March 2022.   </w:t>
                                                </w:r>
                                              </w:p>
                                              <w:p w14:paraId="02465A1E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2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 Lot 11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fans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):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Working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Group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meeting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virtually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25 March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prepare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Consultation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Forum of 1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April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2022.  </w:t>
                                                </w:r>
                                              </w:p>
                                              <w:p w14:paraId="5FFBE9FE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2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Sustainable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Consumption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Goods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Initiative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: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Working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Group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agreed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leading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joint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industry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position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Other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industry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associations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reply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until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25 March end-of-business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whether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they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want to co-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sign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EPEE's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position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The deadline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industry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position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5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April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2022. </w:t>
                                                </w:r>
                                              </w:p>
                                              <w:p w14:paraId="5E4C9ED9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2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Sustainable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Products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Initiative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: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EPEE Secretariat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gained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access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the draft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proposals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new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Ecodesign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Regulation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sustainable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products,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which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presented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Consultation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Forum on 31 March 2022.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Working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Group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discuss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proposals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during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videocall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24 March. </w:t>
                                                </w:r>
                                              </w:p>
                                              <w:p w14:paraId="3C76D90D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2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Consultation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Forums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March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April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organising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several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Consultation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Forums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March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April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which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attended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EPEE. 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a) 31 March 2022: on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Sustainable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Products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Initiative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Ecodesign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Energy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Labelling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Working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Plan 2020-2024, and EPREL 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b) 1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April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2022: on ENER Lot 11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fans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) 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c) 24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June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2022: on ENER Lot 20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labelling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local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space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heaters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) -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note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initial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was 26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April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but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this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was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postponed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by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3671A8FB" w14:textId="77777777" w:rsidR="00AB4987" w:rsidRDefault="00AB4987" w:rsidP="00AB498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pict w14:anchorId="6F281B97">
                                                    <v:rect id="_x0000_i1040" style="width:470.3pt;height:1.5pt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8FEAA1C" w14:textId="77777777" w:rsidR="00AB4987" w:rsidRDefault="00AB4987" w:rsidP="00AB4987">
                                          <w:pPr>
                                            <w:spacing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54D6EDD" w14:textId="77777777" w:rsidR="00AB4987" w:rsidRDefault="00AB4987" w:rsidP="00AB498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4D887E" w14:textId="77777777" w:rsidR="00AB4987" w:rsidRDefault="00AB4987" w:rsidP="00AB498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709558" w14:textId="77777777" w:rsidR="00AB4987" w:rsidRDefault="00AB4987" w:rsidP="00AB498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</w:tblGrid>
                        <w:tr w:rsidR="00AB4987" w14:paraId="161BA88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86"/>
                              </w:tblGrid>
                              <w:tr w:rsidR="00AB4987" w14:paraId="22547B6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19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80"/>
                                    </w:tblGrid>
                                    <w:tr w:rsidR="00AB4987" w14:paraId="0F0A6AAA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F1E0DF7" w14:textId="40209590" w:rsidR="00AB4987" w:rsidRDefault="00AB4987" w:rsidP="00AB4987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0B754C8" wp14:editId="1C8BF41C">
                                                <wp:extent cx="1257300" cy="1257300"/>
                                                <wp:effectExtent l="0" t="0" r="0" b="0"/>
                                                <wp:docPr id="5" name="Obraz 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57300" cy="1257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9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0"/>
                                    </w:tblGrid>
                                    <w:tr w:rsidR="00AB4987" w14:paraId="3363C072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DAABC80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Open Sans" w:hAnsi="Open Sans" w:cs="Open Sans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Calendar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Open Sans" w:hAnsi="Open Sans" w:cs="Open Sans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3A0E2B94" w14:textId="77777777" w:rsidR="00AB4987" w:rsidRDefault="00AB4987" w:rsidP="00AB4987">
                                          <w:pPr>
                                            <w:numPr>
                                              <w:ilvl w:val="0"/>
                                              <w:numId w:val="13"/>
                                            </w:num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5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Calendar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of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External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Events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4CAAA5A1" w14:textId="77777777" w:rsidR="00AB4987" w:rsidRDefault="00AB4987" w:rsidP="00AB4987">
                                          <w:pPr>
                                            <w:numPr>
                                              <w:ilvl w:val="0"/>
                                              <w:numId w:val="13"/>
                                            </w:num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6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Calendar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of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internal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meetings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2022</w:t>
                                            </w:r>
                                          </w:hyperlink>
                                          <w:hyperlink r:id="rId27" w:tgtFrame="_blank" w:history="1"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 </w:t>
                                            </w:r>
                                          </w:hyperlink>
                                        </w:p>
                                        <w:p w14:paraId="49A0FBA9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Open Sans" w:hAnsi="Open Sans" w:cs="Open Sans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Events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Open Sans" w:hAnsi="Open Sans" w:cs="Open Sans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Open Sans" w:hAnsi="Open Sans" w:cs="Open Sans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special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Open Sans" w:hAnsi="Open Sans" w:cs="Open Sans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Open Sans" w:hAnsi="Open Sans" w:cs="Open Sans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interest</w:t>
                                          </w:r>
                                          <w:proofErr w:type="spellEnd"/>
                                        </w:p>
                                        <w:p w14:paraId="3FE36AFF" w14:textId="77777777" w:rsidR="00AB4987" w:rsidRDefault="00AB4987" w:rsidP="00AB4987">
                                          <w:pPr>
                                            <w:numPr>
                                              <w:ilvl w:val="0"/>
                                              <w:numId w:val="14"/>
                                            </w:num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AiCARR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webinar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Low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-GWP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Refrigerants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: EPEE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been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invited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speak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the EU F-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revision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Italian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RACHP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industry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association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AiCARR’s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webinar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on 13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April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. EPEE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represented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by Senior Policy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Director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Federica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Rizzo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. </w:t>
                                          </w:r>
                                        </w:p>
                                        <w:p w14:paraId="128C81FF" w14:textId="77777777" w:rsidR="00AB4987" w:rsidRDefault="00AB4987" w:rsidP="00AB4987">
                                          <w:pPr>
                                            <w:numPr>
                                              <w:ilvl w:val="0"/>
                                              <w:numId w:val="14"/>
                                            </w:num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Honewell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Spring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Cooling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Conference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: EPEE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been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invited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speak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Regulating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Refrigerants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the Spring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Cooling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Conference on 23 March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Athens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organised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by EPEE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Honeywell. EPEE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represented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Director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General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Folker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Franz.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DAA0B8" w14:textId="77777777" w:rsidR="00AB4987" w:rsidRDefault="00AB4987" w:rsidP="00AB498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0DE51F" w14:textId="77777777" w:rsidR="00AB4987" w:rsidRDefault="00AB4987" w:rsidP="00AB498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1D542E" w14:textId="77777777" w:rsidR="00AB4987" w:rsidRDefault="00AB4987" w:rsidP="00AB498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</w:tblGrid>
                        <w:tr w:rsidR="00AB4987" w14:paraId="425A8A18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9350"/>
                              </w:tblGrid>
                              <w:tr w:rsidR="00AB4987" w14:paraId="022DFB01" w14:textId="77777777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6333C56" w14:textId="77777777" w:rsidR="00AB4987" w:rsidRDefault="00AB4987" w:rsidP="00AB498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0"/>
                                    </w:tblGrid>
                                    <w:tr w:rsidR="00AB4987" w14:paraId="523550E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8F8F8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AB4987" w14:paraId="2693D2C3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8F8F8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769E57A0" w14:textId="77777777" w:rsidR="00AB4987" w:rsidRDefault="00AB4987" w:rsidP="00AB498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eastAsia="Times New Roman" w:hAnsi="Helvetica"/>
                                                    <w:color w:val="008080"/>
                                                    <w:sz w:val="36"/>
                                                    <w:szCs w:val="36"/>
                                                  </w:rPr>
                                                  <w:t>WHAT'S IN THE NEWS</w:t>
                                                </w:r>
                                              </w:p>
                                              <w:p w14:paraId="339491A8" w14:textId="77777777" w:rsidR="00AB4987" w:rsidRDefault="00AB4987" w:rsidP="00AB498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14:paraId="65A4AFAC" w14:textId="77777777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000080"/>
                                                    <w:sz w:val="21"/>
                                                    <w:szCs w:val="21"/>
                                                  </w:rPr>
                                                  <w:t>ENDS Europe  </w:t>
                                                </w:r>
                                              </w:p>
                                              <w:p w14:paraId="79F44AEC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Industry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green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groups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odds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over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role of F-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transition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  <w:p w14:paraId="2BEB4017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Lead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MEP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sees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Ukraine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conflict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as ‘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watershed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moment’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building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decarbonisation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7B066BAC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Green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label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gas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nuclear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‘a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scam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’,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says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EU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taxonomy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rapporteur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05DA3F7" w14:textId="77777777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000080"/>
                                                    <w:sz w:val="21"/>
                                                    <w:szCs w:val="21"/>
                                                  </w:rPr>
                                                  <w:t>Agence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00008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Europe </w:t>
                                                </w:r>
                                              </w:p>
                                              <w:p w14:paraId="63680595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6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Commission’s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REPowerEU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plan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fails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convince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MEPs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  <w:p w14:paraId="28AB1094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6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European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Commission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trying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persuade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Member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States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need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carbon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market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road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transport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buildings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5A7C360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6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EU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taxonomy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chair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‘Platform 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Sustainable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Finance’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calls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creation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intermediate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category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FFF09E6" w14:textId="77777777" w:rsidR="00AB4987" w:rsidRDefault="00AB4987" w:rsidP="00AB4987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000080"/>
                                                    <w:sz w:val="21"/>
                                                    <w:szCs w:val="21"/>
                                                  </w:rPr>
                                                  <w:t>Euractiv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Helvetica" w:hAnsi="Helvetica"/>
                                                    <w:color w:val="00008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062B9619" w14:textId="77777777" w:rsidR="00AB4987" w:rsidRDefault="00AB4987" w:rsidP="00AB4987">
                                                <w:pPr>
                                                  <w:numPr>
                                                    <w:ilvl w:val="0"/>
                                                    <w:numId w:val="17"/>
                                                  </w:num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Renovation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takes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centre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stage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buildings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’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energy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use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fuels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Russian war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effort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5129F2E1" w14:textId="77777777" w:rsidR="00AB4987" w:rsidRDefault="00AB4987" w:rsidP="00AB498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pict w14:anchorId="443C7045">
                                                    <v:rect id="_x0000_i1042" style="width:470.3pt;height:1.5pt" o:hrstd="t" o:hr="t" fillcolor="#a0a0a0" stroked="f"/>
                                                  </w:pict>
                                                </w:r>
                                              </w:p>
                                              <w:p w14:paraId="51578B9C" w14:textId="77777777" w:rsidR="00AB4987" w:rsidRDefault="00AB4987" w:rsidP="00AB4987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0095CAF" w14:textId="77777777" w:rsidR="00AB4987" w:rsidRDefault="00AB4987" w:rsidP="00AB498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26CC77D" w14:textId="77777777" w:rsidR="00AB4987" w:rsidRDefault="00AB4987" w:rsidP="00AB498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02FAC1" w14:textId="77777777" w:rsidR="00AB4987" w:rsidRDefault="00AB4987" w:rsidP="00AB498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708C3E" w14:textId="77777777" w:rsidR="00AB4987" w:rsidRDefault="00AB4987" w:rsidP="00AB498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</w:tblGrid>
                        <w:tr w:rsidR="00AB4987" w14:paraId="1FC830C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6"/>
                              </w:tblGrid>
                              <w:tr w:rsidR="00AB4987" w14:paraId="17EC6611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6"/>
                                    </w:tblGrid>
                                    <w:tr w:rsidR="00AB4987" w14:paraId="5EA3CEA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6C0F1FA" w14:textId="77777777" w:rsidR="00AB4987" w:rsidRDefault="00AB4987" w:rsidP="00AB4987">
                                          <w:pPr>
                                            <w:pStyle w:val="Nagwek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Pogrubienie"/>
                                              <w:rFonts w:eastAsia="Times New Roman"/>
                                              <w:b w:val="0"/>
                                              <w:bCs w:val="0"/>
                                              <w:color w:val="000080"/>
                                            </w:rPr>
                                            <w:t>ENDS Europe </w:t>
                                          </w:r>
                                        </w:p>
                                        <w:p w14:paraId="730FDA49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Industry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groups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odds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role of F-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423613E3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accelerate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phase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-out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fluorinated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greenhouse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hamper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reduce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fossil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industry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group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warned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but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campaigners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argue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policymakers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drive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switch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natural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refrigerants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2FA5BE90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leaked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early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draft of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revision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2015 F-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reported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ENDS Europe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week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suggested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considering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dramatic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reduction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volume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weighted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according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greenhouse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potency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placed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market,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just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5% of 2015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levels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048C5EA7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Refrigerators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conditioning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systems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predominantly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exchangers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The market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expected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increase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significantly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and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REPowerEU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plan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unveiled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week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envisages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installation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30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across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Europe by 2030. </w:t>
                                          </w:r>
                                        </w:p>
                                        <w:p w14:paraId="1817D2F6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But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Partnership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Energy and the Environment (EPEE), a trade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association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representing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manufacturers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systems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envisages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roll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out of 50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warned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rapid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phase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-down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jeopardise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ambitions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6504D3DF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projected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deployment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pump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technologies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Europe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much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greenhouse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emissions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restriction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F-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avoid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EPEE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director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general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Folker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Franz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ENDS Europe. </w:t>
                                          </w:r>
                                        </w:p>
                                        <w:p w14:paraId="05410E2C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But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Environmental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Bureau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umbrella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organisation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argues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bottleneck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production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exchangers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avoided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switching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natural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refrigerants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propane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Senior policy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officer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circular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Davide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Sabbadin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acknowledged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engineers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install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systems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bottleneck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2BC960A3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looking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massive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deployment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conditioning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combined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effect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raising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temperatures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decarbonisation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heating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cooling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without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training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translate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massive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mid-range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HFCs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HFOs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quotas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dedicated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hard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abate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sectors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only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Sabbadin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678D1EF6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blamed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industry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backing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F-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expense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natural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alternative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contributing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situation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but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maintained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switch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timeframe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envisaged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phase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-down was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feasible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noted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major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producers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Viessmann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already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committed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natural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refrigerants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launched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training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schemes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engineers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2BE9A3BA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moment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companies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production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upscale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happen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Sabbadin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“We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expect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pump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factories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pop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mushrooms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because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demand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massive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combined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effect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both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targets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crisis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invasion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Ukraine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.” </w:t>
                                          </w:r>
                                        </w:p>
                                        <w:p w14:paraId="3D3AE0AD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expect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much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stronger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coordinated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training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both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working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future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professionals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Sabbadin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16CA18FA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industry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lobby EPEE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agreed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wholeheartedly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extend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training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certification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installers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alternative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refrigerants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Insufficient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numbers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installers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handling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alternative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refrigerants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mostly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flammable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badly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Franz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622CF746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applications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small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domestic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hermetically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sealed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-to-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propane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example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Franz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“But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pretending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everything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alternative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refrigerants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ignoring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complexity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pump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applications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scale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challenge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talking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.” </w:t>
                                          </w:r>
                                        </w:p>
                                        <w:p w14:paraId="72172B11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scheduled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present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proposal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reform the F-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‘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emissions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pollutants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’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package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legislation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April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7DDC27EE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................................................................................................................................................................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MEP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Ukraine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conflict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‘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watershed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moment’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decarbonisation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Calls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reduce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dependency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given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fresh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impetus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alternative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ways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homes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inefficient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stock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01F4BFF0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war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Ukraine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caused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seismic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shift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debate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heating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efficiency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Green MEP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Ciarán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Cuffe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a policy forum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Monday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before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momentum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amongst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increase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increase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numbers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25741203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Cuffe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rapporteur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part of the ‘Fit for 55’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policy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package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deals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environment: the Energy Performance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Directive (EPBD). </w:t>
                                          </w:r>
                                        </w:p>
                                        <w:p w14:paraId="70E3BCEE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revision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proposed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2021, with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raft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measures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reduce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emissions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heating,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accounts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half of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consumption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two-fifths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imports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Russia,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Ukraine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brought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focus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decarbonise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stock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6BD3DE02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Cuffe’s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online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launch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a report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Alliance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Energy and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Foundation. The report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found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decarbonising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stock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import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dependence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mainly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reducing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estimated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annual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spending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imports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reduced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€15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2030 and €43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2050. </w:t>
                                          </w:r>
                                        </w:p>
                                        <w:p w14:paraId="39F8F421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Femke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Jong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manages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project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heating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Foundation,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situation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very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different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started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study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ago” and the report was “not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designed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answer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fast Europe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imports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heating,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show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provide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numerous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benefits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society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”. </w:t>
                                          </w:r>
                                        </w:p>
                                        <w:p w14:paraId="1EBA6424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report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found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electrification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stock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tripling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3.5%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annually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help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halve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annual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emissions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CO2 by 2030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zero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mid-century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6FA07DDC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week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Performance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Institute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Europe (BPIE),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think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-tank,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published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strategy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suggesting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ways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decrease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reliance on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imports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heating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-,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-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-term. </w:t>
                                          </w:r>
                                        </w:p>
                                        <w:p w14:paraId="7B095761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watershed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moment”,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Cuffe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speaking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conflict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was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fuelled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revenues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”. 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implored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not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replace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imports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elsewhere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but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prioritise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roll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-out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efficiency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measures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the EPBD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progresses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through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negotiation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Council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306A2B2F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................................................................................................................................................................. </w:t>
                                          </w:r>
                                        </w:p>
                                        <w:p w14:paraId="74078928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Green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label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nuclear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‘a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scam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’,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says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rapporteur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6025B0A0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lambasted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decision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classify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nuclear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sustainable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bloc’s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nascent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investment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rules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advisory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body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unveiled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recommend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‘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’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category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‘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within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two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weeks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’. </w:t>
                                          </w:r>
                                        </w:p>
                                        <w:p w14:paraId="20F5D5F3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discussed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controversial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pursuant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joint public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convened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environment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committees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Tuesday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hyperlink r:id="rId28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unveiled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month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secondary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legislation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classifies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transitional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two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sources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howls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protest from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environmentalists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121D8D5E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EPP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group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lawmaker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Sirpa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Pietikäinen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rapporteur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opposition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small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drafted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executive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“Just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underline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my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colleagues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for the platform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…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kind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scam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…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totally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against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first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level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science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saying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assembled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lawmakers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12C50A92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Her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echoed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lawmakers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across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political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spectrum. “[The] science-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lost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lamented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shadow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rapporteur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Paul Tang, from the S&amp;D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group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Worse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[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]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sidestep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democratic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process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[with a]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[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]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introduces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fundamental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changes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primary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legislation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2C333817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Nathan Fabian,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Commission-appointed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Platform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Sustainable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Finance,</w:t>
                                          </w:r>
                                          <w:hyperlink r:id="rId29" w:tgtFrame="_blank" w:history="1"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reiterated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panel’s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assessment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goes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against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43FB94E9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Fabian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“the CDA [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Complementary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] part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always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contain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says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[but]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there’s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anti-gas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just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don’t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think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criteria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good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enough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.” Fabian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explained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extra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cases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replaced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renewables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going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better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net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result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retiring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assets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quickly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25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asset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”. </w:t>
                                          </w:r>
                                        </w:p>
                                        <w:p w14:paraId="258C7E38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further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clarified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Platform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Sustainable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Finance,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advisory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body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mandated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recommend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category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part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extended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framework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in a report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published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end of March. </w:t>
                                          </w:r>
                                        </w:p>
                                        <w:p w14:paraId="19D30070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nuclear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trying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encourage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market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allocate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capital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to…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activities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improve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[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environmental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] performance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between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20 and 40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[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saying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] ‘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don’t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worry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’,” Fabian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lawmakers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asked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rhetorically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: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trust me…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problem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”. </w:t>
                                          </w:r>
                                        </w:p>
                                        <w:p w14:paraId="4EC49736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“Central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eastern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Europe…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lobbying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nukes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[in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]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aggression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Martin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Hojsík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Europe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group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Hopefully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Slovak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liberal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continued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,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because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my country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85% dependent on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[and] 100% dependent on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nuclear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technology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.” </w:t>
                                          </w:r>
                                        </w:p>
                                        <w:p w14:paraId="66E9DA3E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Separately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Pietikäinen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formal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question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week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whether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executive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seriously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consider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nuclear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sustainable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…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cancel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?” </w:t>
                                          </w:r>
                                        </w:p>
                                        <w:p w14:paraId="34665E61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exchange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suggests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very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real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possibility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might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muster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simple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majority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veto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subsidiary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legislation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the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Council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scrutiny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role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reject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legislation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during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period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six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months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﷟HYPERLINK "</w:t>
                                          </w:r>
                                          <w:hyperlink r:id="rId30" w:history="1"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sz w:val="24"/>
                                                <w:szCs w:val="24"/>
                                              </w:rPr>
                                              <w:t>https://aeur.eu/f/k1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"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.................................................................................................................................................................. </w:t>
                                          </w:r>
                                        </w:p>
                                        <w:p w14:paraId="563F919E" w14:textId="77777777" w:rsidR="00AB4987" w:rsidRDefault="00AB4987" w:rsidP="00AB4987">
                                          <w:pPr>
                                            <w:pStyle w:val="Nagwek3"/>
                                            <w:rPr>
                                              <w:rFonts w:ascii="Helvetica" w:eastAsia="Times New Roman" w:hAnsi="Helvetica" w:cs="Calibri"/>
                                              <w:color w:val="202020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eastAsia="Times New Roman"/>
                                              <w:b w:val="0"/>
                                              <w:bCs w:val="0"/>
                                              <w:color w:val="000080"/>
                                            </w:rPr>
                                            <w:t>Agence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eastAsia="Times New Roman"/>
                                              <w:b w:val="0"/>
                                              <w:bCs w:val="0"/>
                                              <w:color w:val="000080"/>
                                            </w:rPr>
                                            <w:t xml:space="preserve"> Europe </w:t>
                                          </w:r>
                                        </w:p>
                                        <w:p w14:paraId="5FC24731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REPowerEU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plan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fails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convince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Committee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Industry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Energy (ITRE)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called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go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further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plan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away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dependence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Russia by 2027 and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tackle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soaring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exchange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Energy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Kadri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Simson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Tuesday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15 March. </w:t>
                                          </w:r>
                                        </w:p>
                                        <w:p w14:paraId="3B32191D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plan,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entitled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REPowerEU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essentially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set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guidelines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complementing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toolkit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presented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13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October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2021. </w:t>
                                          </w:r>
                                        </w:p>
                                        <w:p w14:paraId="0BFA401C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recommendations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includes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presentation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April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legislative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proposal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requiring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storage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facilities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EU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filled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90%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capacity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1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October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each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1A7A2C18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EPP and S&amp;D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group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coordinators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Maria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Carvalho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(Portugal) and Dan Nica (Romania),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welcomed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initiative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both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called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urgent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5BFA57DA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first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place,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must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propose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ambitious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-term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measures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address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security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supply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”. 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called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urgent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completion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internal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market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completing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missing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interconnections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2E093CCF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Faced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quickly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away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imports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Ms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Carvalho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defended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postponing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closure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nuclear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power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maintaining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cleanest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coal-fired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limited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period. </w:t>
                                          </w:r>
                                        </w:p>
                                        <w:p w14:paraId="336E9948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Deploring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failures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electricity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market,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Nica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urged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strict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measures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monitor the market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combat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capture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extraordinary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profits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certain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players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34FB2EF5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point,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Communication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current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crisis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situation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exceptionally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decide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introduce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measures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capture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part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profits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certain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electricity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producers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”. </w:t>
                                          </w:r>
                                        </w:p>
                                        <w:p w14:paraId="234531A4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formulation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weak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coordinator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Left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group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Marc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Botenga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Belgium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).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Stressing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urgency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helping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households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rising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criticised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strong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measures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called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frozen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level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September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308E22BE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combat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soaring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“we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targeted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support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not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subsidy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goes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unlimited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regardless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much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consumed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first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place”,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Jutta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Paulus (Germany),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coordinator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/EFA. </w:t>
                                          </w:r>
                                        </w:p>
                                        <w:p w14:paraId="57D79569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asked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provide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detailed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plan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citizens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create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on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possibilities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speeding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permitting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procedures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renewable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projects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limiting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a maximum of 1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wind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projects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months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solar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projects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048BB471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Responding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Ms Simson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recalled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intends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suggest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creation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limited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clearly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defined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particularly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suitable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renewable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projects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framework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forthcoming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proposal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a law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nature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restoration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23 March). </w:t>
                                          </w:r>
                                        </w:p>
                                        <w:p w14:paraId="7E95F79D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In May,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unveil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recommendation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rapid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licensing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renewable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projects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options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optimising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design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electricity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market. </w:t>
                                          </w:r>
                                        </w:p>
                                        <w:p w14:paraId="5A493473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In order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protect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consumers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present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by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Council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24-25 March,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options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limit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spill-over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effect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rising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electricity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456E07B4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.................................................................................................................................................................. </w:t>
                                          </w:r>
                                        </w:p>
                                        <w:p w14:paraId="292A5BC2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trying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persuade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carbon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market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road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transport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Wednesday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16 March, a non-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highlight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potential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consequences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not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establishing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emissions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trading system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road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transport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(ETS2),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both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terms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CO2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emissions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social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economic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costs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590EF35F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scenario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55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tonnes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CO2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reduced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means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without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guarantee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ETS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offers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terms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reductions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says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note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debate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subject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between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’ Environment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Ministers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news). </w:t>
                                          </w:r>
                                        </w:p>
                                        <w:p w14:paraId="2D9B71CF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corresponds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according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10%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additional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reduction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required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reduce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net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greenhouse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(GHG)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emissions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55% by 2030 (the target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enshrined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‘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Law’). </w:t>
                                          </w:r>
                                        </w:p>
                                        <w:p w14:paraId="3F69D410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Achieving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2030 target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require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doubling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provided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national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policies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regulatory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tools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road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transport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sectors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institution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believes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given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carbon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each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account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around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50%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additional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required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sectors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”. </w:t>
                                          </w:r>
                                        </w:p>
                                        <w:p w14:paraId="59F936B0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increase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costs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48B3E5B7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absence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ETS2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means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additional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efforts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households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,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without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additional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revenues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level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support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investments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warns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388066E9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regard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investments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institution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estimates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additional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annual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investment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costs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40%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households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lowest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incomes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€5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(€30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instead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€25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the ETS2). </w:t>
                                          </w:r>
                                        </w:p>
                                        <w:p w14:paraId="30F8D2C9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According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analysis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low-income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households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average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better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off” with the ETS2 and the ‘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Social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Fund’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part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additional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revenues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carbon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market).   </w:t>
                                          </w:r>
                                        </w:p>
                                        <w:p w14:paraId="54BB3033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points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out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vehicles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richest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20%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households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32%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emissions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covered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ETS2,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poorest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20%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households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only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9%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emissions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2C3503CC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recalls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additional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burden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vulnerable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households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caused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ETS2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compensated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‘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Social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Fund’. </w:t>
                                          </w:r>
                                        </w:p>
                                        <w:p w14:paraId="08DF78D6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According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proposal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size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fund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sufficient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“to co-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finance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40%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estimated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annual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investment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costs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necessary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investments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households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two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poorest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quintiles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each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”. </w:t>
                                          </w:r>
                                        </w:p>
                                        <w:p w14:paraId="002B676A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Looking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households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whole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, a regulatory-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only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approach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require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increase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annual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investment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costs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2030 of 0.85% (€69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compared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current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policies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versus 0.71% (€57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)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a mix of regulatory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measures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carbon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note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says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1C2AED6E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note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: </w:t>
                                          </w:r>
                                          <w:hyperlink r:id="rId31" w:tgtFrame="_blank" w:history="1"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https://aeur.eu/f/tc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35E356FA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.................................................................................................................................................................. </w:t>
                                          </w:r>
                                        </w:p>
                                        <w:p w14:paraId="6D8C77A7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‘Platform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Sustainable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Finance’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calls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creation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intermediate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category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grubienie"/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40D742C5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Platform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Sustainable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Finance, Nathan Fabian,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reaffirmed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Platform’s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intention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propose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creation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intermediate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category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investments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environmentally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friendly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but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role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environmental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during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exchange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Tuesday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15 March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Committee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Economic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Monetary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Affairs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(ECON) and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Committee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Environment, Public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Health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Food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Safety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(ENVI). </w:t>
                                          </w:r>
                                        </w:p>
                                        <w:p w14:paraId="1D295836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‘Platform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Sustainable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Finance’,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50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stakeholders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advising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-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classification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system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determine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whether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economic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activity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considered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environmentally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sustainable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order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guide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private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investment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issued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highly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critical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opinion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inclusion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via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complementary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fossil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nuclear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transitional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activities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5629BE85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overall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assessment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Platform on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complementary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criteria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economic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activities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not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requirements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regulation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2020/852), the 1.5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degree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objective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(Paris Agreement), and the 2030 and 2050 set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goals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Fabian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reminded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ECON and ENVI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committees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1A7EE948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view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problem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complementary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classifies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‘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’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economic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activities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”, but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only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future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”. </w:t>
                                          </w:r>
                                        </w:p>
                                        <w:p w14:paraId="11C83764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He went on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: “It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activities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complementary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do not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4901AEB3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Platform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Sustainable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Finance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intends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publish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“report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extended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 by the end of March,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proposing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intermediate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category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category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)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activities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6097EBC8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believe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better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option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describe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multiple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transitions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multiple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environmental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objectives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multiple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economic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sectors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embrace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Fabian. </w:t>
                                          </w:r>
                                        </w:p>
                                        <w:p w14:paraId="3F3D40EE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Asked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Simona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Bonafé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(S&amp;D,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Italy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) and Paul Tang (S&amp;D,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Netherlands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usefulness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category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risk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slow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down investment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renewables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Platform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intermediate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category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helps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” and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assist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renewables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undermine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”. </w:t>
                                          </w:r>
                                        </w:p>
                                        <w:p w14:paraId="2BF0CC2B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significantly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harmful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but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‘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’ and ‘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’ one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finances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plan.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legitimate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improve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attract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finances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extended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category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assist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with. </w:t>
                                          </w:r>
                                        </w:p>
                                        <w:p w14:paraId="4FD56211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Towards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opposition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? </w:t>
                                          </w:r>
                                        </w:p>
                                        <w:p w14:paraId="481FF4DA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Presented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2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February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rejected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majority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decide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support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rejection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plenary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vote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likely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place in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months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’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time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(the co-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legislators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months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oppose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with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option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requesting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two-month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extension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). </w:t>
                                          </w:r>
                                        </w:p>
                                        <w:p w14:paraId="0D011E66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According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speeches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vote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influenced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the war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Ukraine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highlighted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imperative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EU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away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dependence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imported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sources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 </w:t>
                                          </w:r>
                                        </w:p>
                                        <w:p w14:paraId="7EF7E24D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seriously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think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nuclear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labelled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sustainable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?”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asked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Sirpa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Pietikäinen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(EPP,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Finland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). </w:t>
                                          </w:r>
                                        </w:p>
                                        <w:p w14:paraId="06B1AD78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Bogdan Rzońca (ECR, Poland),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part,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asked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whether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not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amended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account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current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tragic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situation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”. </w:t>
                                          </w:r>
                                        </w:p>
                                        <w:p w14:paraId="6958940E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Emma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Wiesner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Europe,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Sweden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rethink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”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inclusion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taxonomy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,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particularly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given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war”. </w:t>
                                          </w:r>
                                        </w:p>
                                        <w:p w14:paraId="0634D786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César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Luena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(S&amp;D,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) and Silvia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Modig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Left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Finland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called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rejection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delegated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arguing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not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science and policy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objectives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343CDB84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.................................................................................................................................................................. </w:t>
                                          </w:r>
                                        </w:p>
                                        <w:p w14:paraId="1DBE1466" w14:textId="77777777" w:rsidR="00AB4987" w:rsidRDefault="00AB4987" w:rsidP="00AB4987">
                                          <w:pPr>
                                            <w:pStyle w:val="Nagwek3"/>
                                            <w:rPr>
                                              <w:rFonts w:ascii="Helvetica" w:eastAsia="Times New Roman" w:hAnsi="Helvetica" w:cs="Calibri"/>
                                              <w:color w:val="202020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Style w:val="Pogrubienie"/>
                                              <w:rFonts w:eastAsia="Times New Roman"/>
                                              <w:b w:val="0"/>
                                              <w:bCs w:val="0"/>
                                              <w:color w:val="000080"/>
                                            </w:rPr>
                                            <w:t>EURACTIV </w:t>
                                          </w:r>
                                        </w:p>
                                        <w:p w14:paraId="20213E6F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takes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centre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’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fuels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Russian war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3664F6B3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invasion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Ukraine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heating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increasingly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untenable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revised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Energy Performance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Directive,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channel extra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funds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5A590AB7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Nothing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guzzles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fossil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Much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imported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Russia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heating homes, with 39%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households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2019 </w:t>
                                          </w:r>
                                          <w:hyperlink r:id="rId32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boiler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In Germany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alone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hyperlink r:id="rId33" w:tgtFrame="_blank" w:history="1"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20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million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boilers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running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out. </w:t>
                                          </w:r>
                                        </w:p>
                                        <w:p w14:paraId="24FCF895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Let’s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honest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decade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replace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hyperlink r:id="rId34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says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Birger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Lauersen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president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&amp; Power,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association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representing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district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heating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sector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“And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even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electricity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replace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those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earth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going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20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pumps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?” 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asks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17D92766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revised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Energy Performance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Directive (EPBD)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in.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insulated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homes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less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consume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whether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electricity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00C94189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“The EPBD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relevant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improve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security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tackle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change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reduce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poverty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explains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/EFA MEP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Ciarán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Cuffe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charge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finding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law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43E3D134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“47%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solid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27%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crude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41%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fossil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Russia in 2019,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20% of EU uranium,”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Cuffe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notes.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therefore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time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ramp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ambition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Energy Performance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Directive,” 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15DD86B8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Every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cent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efficiency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renewable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one less cent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going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Putin’s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Russia,” 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EURACTIV. </w:t>
                                          </w:r>
                                        </w:p>
                                        <w:p w14:paraId="6E860314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Negotiations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currently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underway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Brussels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specifics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EPBD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revision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tabled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proposal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seeks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15%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worst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performing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Europe. </w:t>
                                          </w:r>
                                        </w:p>
                                        <w:p w14:paraId="263105FC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achieved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“by 2027 as a deadline for non-residential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and 2030 as a deadline for residential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explained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Tsvetelina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Penkova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lawmaker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Bulgaria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shadow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rapporteur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the EPBD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Socialists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Democrats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(S&amp;D)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group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Parliament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41BF67CB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After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2030,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newly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constructed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zero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hyperlink r:id="rId35" w:tgtFrame="_blank" w:history="1">
                                            <w:r>
                                              <w:rPr>
                                                <w:rStyle w:val="Hipercz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EURACTIV event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22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February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just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two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days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before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Russian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invasion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66FDA904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goals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ambitious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progress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slow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only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1%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undergoing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each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pace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must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doubled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according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2C49E93A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roadblocks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plentiful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one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relatively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without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support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tend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lifetime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the high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construction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materials. </w:t>
                                          </w:r>
                                        </w:p>
                                        <w:p w14:paraId="2A8529B1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materials,”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Kalin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Peshov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chairman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board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construction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firm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Glavbolgarstroy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AD,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spoke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EURACTIV event. 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I’m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saying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because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not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even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comparable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ones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Peshov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vice-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chairman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Bulgarian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Construction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519D3A0D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materials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skyrocketed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past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two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driven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supply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disruptions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during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COVID-19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pandemic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and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construction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boom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followed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loosening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restrictions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across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again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recently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timber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Russia,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world’s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largest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exporter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decided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as part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sanctions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against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Moscow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invasion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Ukraine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17C8DAE5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metals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talking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100%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hike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one and a half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years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talking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40%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increase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similarly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important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materials,”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Peshov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explained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event. </w:t>
                                          </w:r>
                                        </w:p>
                                        <w:p w14:paraId="0F823253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structure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industry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doesn’t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help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either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Whereas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digital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policy,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lawmakers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address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biggest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companies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directly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construction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sector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incredibly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fragmented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explained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Domenico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Campogrande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director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general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Construction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Industry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Federation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(FIEC). </w:t>
                                          </w:r>
                                        </w:p>
                                        <w:p w14:paraId="10D1574C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50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organisations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link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construction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activities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makes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overall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weight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ecosystem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called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sometimes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relatively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lower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industrial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sectors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event. </w:t>
                                          </w:r>
                                        </w:p>
                                        <w:p w14:paraId="4A0EBA7A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changing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though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partly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renewed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attention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from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policymakers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3214B92E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“With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priorities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especially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environment part,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ecosystem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central point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extremely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important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role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achievement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objectives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Campogrande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6010F1E6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And with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€800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billion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recovery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plan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agreed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by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leaders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2020,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unprecedented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financial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firepower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support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051CFCBE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“The idea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actually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transform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[COVID-19]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crisis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accelerator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transition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Fulvia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Raffaelli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head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construction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Commission’s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internal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market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directorate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(DG GROW). </w:t>
                                          </w:r>
                                        </w:p>
                                        <w:p w14:paraId="4418C5FD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The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executive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aims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spend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funds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“in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fully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aligned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with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overall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objectives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around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climate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neutrality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energy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efficiency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and on top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resilience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Union,”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explained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saying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funds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go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priority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those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need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057040E6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As 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must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spend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least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30% of the fund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green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projects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should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money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speed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renovation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buildings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Penkova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said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3E765DB2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“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think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it’s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just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matter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strategic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planning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states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achieve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.”</w:t>
                                          </w:r>
                                        </w:p>
                                        <w:p w14:paraId="5DF53A99" w14:textId="77777777" w:rsidR="00AB4987" w:rsidRDefault="00AB4987" w:rsidP="00AB4987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23D5DD9E" w14:textId="77777777" w:rsidR="00AB4987" w:rsidRDefault="00AB4987" w:rsidP="00AB4987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pict w14:anchorId="5DABEB65">
                                              <v:rect id="_x0000_i1043" style="width:470.3pt;height:1.5pt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D3C288C" w14:textId="77777777" w:rsidR="00AB4987" w:rsidRDefault="00AB4987" w:rsidP="00AB4987">
                                    <w:pPr>
                                      <w:spacing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146088" w14:textId="77777777" w:rsidR="00AB4987" w:rsidRDefault="00AB4987" w:rsidP="00AB498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030C71" w14:textId="77777777" w:rsidR="00AB4987" w:rsidRDefault="00AB4987" w:rsidP="00AB498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D9E606" w14:textId="77777777" w:rsidR="00AB4987" w:rsidRDefault="00AB4987" w:rsidP="00AB49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16747A" w14:textId="77777777" w:rsidR="00AB4987" w:rsidRDefault="00AB4987" w:rsidP="00AB49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987" w14:paraId="363C856D" w14:textId="77777777" w:rsidTr="00AB498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4987" w14:paraId="075F4D24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AB4987" w14:paraId="77DB3C14" w14:textId="77777777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B4987" w14:paraId="1A36F8C9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12D89774" w14:textId="77777777" w:rsidR="00AB4987" w:rsidRDefault="00AB4987" w:rsidP="00AB498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F300F9" w14:textId="77777777" w:rsidR="00AB4987" w:rsidRDefault="00AB4987" w:rsidP="00AB498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B4987" w14:paraId="66F384C9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0A793504" w14:textId="77777777" w:rsidR="00AB4987" w:rsidRDefault="00AB4987" w:rsidP="00AB498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3A04EA" w14:textId="77777777" w:rsidR="00AB4987" w:rsidRDefault="00AB4987" w:rsidP="00AB498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9CB883" w14:textId="77777777" w:rsidR="00AB4987" w:rsidRDefault="00AB4987" w:rsidP="00AB49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1EFF7E" w14:textId="77777777" w:rsidR="00AB4987" w:rsidRDefault="00AB4987" w:rsidP="00AB49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82EDDC" w14:textId="77777777" w:rsidR="001E11AA" w:rsidRPr="00134672" w:rsidRDefault="001E11AA" w:rsidP="0094579C"/>
    <w:sectPr w:rsidR="001E11AA" w:rsidRPr="00134672" w:rsidSect="00CB17B4">
      <w:footerReference w:type="default" r:id="rId36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50FE" w14:textId="77777777" w:rsidR="0076478A" w:rsidRDefault="0076478A" w:rsidP="00CA0222">
      <w:pPr>
        <w:spacing w:after="0" w:line="240" w:lineRule="auto"/>
      </w:pPr>
      <w:r>
        <w:separator/>
      </w:r>
    </w:p>
  </w:endnote>
  <w:endnote w:type="continuationSeparator" w:id="0">
    <w:p w14:paraId="11ACFC36" w14:textId="77777777" w:rsidR="0076478A" w:rsidRDefault="0076478A" w:rsidP="00CA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836863"/>
      <w:docPartObj>
        <w:docPartGallery w:val="Page Numbers (Bottom of Page)"/>
        <w:docPartUnique/>
      </w:docPartObj>
    </w:sdtPr>
    <w:sdtEndPr/>
    <w:sdtContent>
      <w:p w14:paraId="5D0AA267" w14:textId="6F7386A0" w:rsidR="00CA0222" w:rsidRDefault="00CA02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BF936" w14:textId="77777777" w:rsidR="00CA0222" w:rsidRDefault="00CA0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3BA6" w14:textId="77777777" w:rsidR="0076478A" w:rsidRDefault="0076478A" w:rsidP="00CA0222">
      <w:pPr>
        <w:spacing w:after="0" w:line="240" w:lineRule="auto"/>
      </w:pPr>
      <w:r>
        <w:separator/>
      </w:r>
    </w:p>
  </w:footnote>
  <w:footnote w:type="continuationSeparator" w:id="0">
    <w:p w14:paraId="6DB2825F" w14:textId="77777777" w:rsidR="0076478A" w:rsidRDefault="0076478A" w:rsidP="00CA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876"/>
    <w:multiLevelType w:val="multilevel"/>
    <w:tmpl w:val="F59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0F68"/>
    <w:multiLevelType w:val="multilevel"/>
    <w:tmpl w:val="88BC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91D9D"/>
    <w:multiLevelType w:val="multilevel"/>
    <w:tmpl w:val="796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E2F22"/>
    <w:multiLevelType w:val="multilevel"/>
    <w:tmpl w:val="B696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02ADB"/>
    <w:multiLevelType w:val="multilevel"/>
    <w:tmpl w:val="7E1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60DCE"/>
    <w:multiLevelType w:val="multilevel"/>
    <w:tmpl w:val="929E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6316E"/>
    <w:multiLevelType w:val="multilevel"/>
    <w:tmpl w:val="F02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C162D"/>
    <w:multiLevelType w:val="multilevel"/>
    <w:tmpl w:val="DF0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9636A"/>
    <w:multiLevelType w:val="multilevel"/>
    <w:tmpl w:val="3D5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36F9E"/>
    <w:multiLevelType w:val="multilevel"/>
    <w:tmpl w:val="BA52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85050"/>
    <w:multiLevelType w:val="multilevel"/>
    <w:tmpl w:val="970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A924EA"/>
    <w:multiLevelType w:val="multilevel"/>
    <w:tmpl w:val="9CFE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512F42"/>
    <w:multiLevelType w:val="multilevel"/>
    <w:tmpl w:val="7DCE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0464A"/>
    <w:multiLevelType w:val="multilevel"/>
    <w:tmpl w:val="7A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96236"/>
    <w:multiLevelType w:val="multilevel"/>
    <w:tmpl w:val="0B12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A7014"/>
    <w:multiLevelType w:val="multilevel"/>
    <w:tmpl w:val="212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F56BB4"/>
    <w:multiLevelType w:val="multilevel"/>
    <w:tmpl w:val="578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1"/>
  </w:num>
  <w:num w:numId="7">
    <w:abstractNumId w:val="8"/>
  </w:num>
  <w:num w:numId="8">
    <w:abstractNumId w:val="3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C0"/>
    <w:rsid w:val="00000199"/>
    <w:rsid w:val="00045407"/>
    <w:rsid w:val="00052168"/>
    <w:rsid w:val="00072128"/>
    <w:rsid w:val="00077832"/>
    <w:rsid w:val="000C5747"/>
    <w:rsid w:val="000F2377"/>
    <w:rsid w:val="00134672"/>
    <w:rsid w:val="00150D10"/>
    <w:rsid w:val="001B244E"/>
    <w:rsid w:val="001E11AA"/>
    <w:rsid w:val="00203CCF"/>
    <w:rsid w:val="00217B51"/>
    <w:rsid w:val="00223E4B"/>
    <w:rsid w:val="002276FF"/>
    <w:rsid w:val="00237B76"/>
    <w:rsid w:val="00267023"/>
    <w:rsid w:val="003B0A4E"/>
    <w:rsid w:val="003E453A"/>
    <w:rsid w:val="003E6310"/>
    <w:rsid w:val="00450611"/>
    <w:rsid w:val="004551AC"/>
    <w:rsid w:val="00496475"/>
    <w:rsid w:val="004972B8"/>
    <w:rsid w:val="004A2591"/>
    <w:rsid w:val="004A2BAF"/>
    <w:rsid w:val="004C61F0"/>
    <w:rsid w:val="00530CCE"/>
    <w:rsid w:val="00550184"/>
    <w:rsid w:val="00553C6C"/>
    <w:rsid w:val="00564CB1"/>
    <w:rsid w:val="005660EF"/>
    <w:rsid w:val="005869DD"/>
    <w:rsid w:val="005C14A9"/>
    <w:rsid w:val="005D2F83"/>
    <w:rsid w:val="005E41AE"/>
    <w:rsid w:val="00610E13"/>
    <w:rsid w:val="00656F5D"/>
    <w:rsid w:val="00663E3F"/>
    <w:rsid w:val="006C763D"/>
    <w:rsid w:val="00757C39"/>
    <w:rsid w:val="0076478A"/>
    <w:rsid w:val="0077760F"/>
    <w:rsid w:val="00790698"/>
    <w:rsid w:val="007977C1"/>
    <w:rsid w:val="007C3BD7"/>
    <w:rsid w:val="007F7127"/>
    <w:rsid w:val="0081660F"/>
    <w:rsid w:val="00821C7B"/>
    <w:rsid w:val="00843443"/>
    <w:rsid w:val="008871CA"/>
    <w:rsid w:val="009168BF"/>
    <w:rsid w:val="00930EE3"/>
    <w:rsid w:val="0094579C"/>
    <w:rsid w:val="00984882"/>
    <w:rsid w:val="009C667E"/>
    <w:rsid w:val="009D1612"/>
    <w:rsid w:val="00A0751A"/>
    <w:rsid w:val="00A15F99"/>
    <w:rsid w:val="00A63277"/>
    <w:rsid w:val="00A66F8C"/>
    <w:rsid w:val="00AB4987"/>
    <w:rsid w:val="00AC752A"/>
    <w:rsid w:val="00AF22A1"/>
    <w:rsid w:val="00B0640B"/>
    <w:rsid w:val="00B50C66"/>
    <w:rsid w:val="00B609DE"/>
    <w:rsid w:val="00B72615"/>
    <w:rsid w:val="00BC50E5"/>
    <w:rsid w:val="00C2676B"/>
    <w:rsid w:val="00C26DF8"/>
    <w:rsid w:val="00C528C0"/>
    <w:rsid w:val="00CA0222"/>
    <w:rsid w:val="00CA22D9"/>
    <w:rsid w:val="00CB17B4"/>
    <w:rsid w:val="00CB5774"/>
    <w:rsid w:val="00CC0514"/>
    <w:rsid w:val="00CC1509"/>
    <w:rsid w:val="00CC4807"/>
    <w:rsid w:val="00CF1BF6"/>
    <w:rsid w:val="00D4496C"/>
    <w:rsid w:val="00D806B0"/>
    <w:rsid w:val="00D864D3"/>
    <w:rsid w:val="00DA675E"/>
    <w:rsid w:val="00E50CE8"/>
    <w:rsid w:val="00E52740"/>
    <w:rsid w:val="00E81182"/>
    <w:rsid w:val="00E90491"/>
    <w:rsid w:val="00E929EA"/>
    <w:rsid w:val="00E9383E"/>
    <w:rsid w:val="00EB2954"/>
    <w:rsid w:val="00EF511D"/>
    <w:rsid w:val="00F16AD0"/>
    <w:rsid w:val="00F5478C"/>
    <w:rsid w:val="00F72C70"/>
    <w:rsid w:val="00FA576C"/>
    <w:rsid w:val="00FB35D4"/>
    <w:rsid w:val="00FB6FC4"/>
    <w:rsid w:val="00FC6204"/>
    <w:rsid w:val="00FE28C3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F234"/>
  <w15:docId w15:val="{DE2D4DE7-C6BE-481D-BBDC-79FAB13A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67E"/>
    <w:pPr>
      <w:spacing w:line="254" w:lineRule="auto"/>
    </w:pPr>
    <w:rPr>
      <w:rFonts w:ascii="Calibri" w:eastAsiaTheme="minorHAns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9C667E"/>
    <w:pPr>
      <w:keepNext/>
      <w:spacing w:before="240" w:after="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0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67E"/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9C667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C667E"/>
    <w:pPr>
      <w:ind w:left="720"/>
      <w:contextualSpacing/>
    </w:pPr>
  </w:style>
  <w:style w:type="paragraph" w:customStyle="1" w:styleId="paragraph">
    <w:name w:val="paragraph"/>
    <w:basedOn w:val="Normalny"/>
    <w:rsid w:val="009C66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9C667E"/>
  </w:style>
  <w:style w:type="character" w:customStyle="1" w:styleId="eop">
    <w:name w:val="eop"/>
    <w:basedOn w:val="Domylnaczcionkaakapitu"/>
    <w:rsid w:val="009C667E"/>
  </w:style>
  <w:style w:type="paragraph" w:styleId="NormalnyWeb">
    <w:name w:val="Normal (Web)"/>
    <w:basedOn w:val="Normalny"/>
    <w:uiPriority w:val="99"/>
    <w:semiHidden/>
    <w:unhideWhenUsed/>
    <w:rsid w:val="00CF1BF6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List Paragraph2 Char,List Paragraph21 Char,Párrafo de lista1 Char,Parágrafo da Lista1 Char"/>
    <w:basedOn w:val="Domylnaczcionkaakapitu"/>
    <w:link w:val="Akapitzlist1"/>
    <w:uiPriority w:val="34"/>
    <w:locked/>
    <w:rsid w:val="00CF1BF6"/>
  </w:style>
  <w:style w:type="paragraph" w:customStyle="1" w:styleId="Akapitzlist1">
    <w:name w:val="Akapit z listą1"/>
    <w:aliases w:val="Bullet List,FooterText,List Paragraph1,numbered,Paragraphe de liste1,Bulletr List Paragraph,列出段落,列出段落1,List Paragraph2,List Paragraph21,Párrafo de lista1,Parágrafo da Lista1,リスト段落1,Listeafsnit1,????,????1,?????1,Colorful List - Accent 11"/>
    <w:basedOn w:val="Normalny"/>
    <w:link w:val="ListParagraphChar"/>
    <w:uiPriority w:val="34"/>
    <w:rsid w:val="00CF1BF6"/>
    <w:pPr>
      <w:ind w:left="720"/>
      <w:contextualSpacing/>
    </w:pPr>
    <w:rPr>
      <w:rFonts w:asciiTheme="minorHAnsi" w:eastAsia="Times New Roman" w:hAnsiTheme="minorHAnsi" w:cstheme="minorBidi"/>
    </w:rPr>
  </w:style>
  <w:style w:type="paragraph" w:customStyle="1" w:styleId="bodytext1">
    <w:name w:val="bodytext1"/>
    <w:basedOn w:val="Normalny"/>
    <w:rsid w:val="00CF1B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F1BF6"/>
    <w:rPr>
      <w:i/>
      <w:iCs/>
    </w:rPr>
  </w:style>
  <w:style w:type="character" w:styleId="Pogrubienie">
    <w:name w:val="Strong"/>
    <w:basedOn w:val="Domylnaczcionkaakapitu"/>
    <w:uiPriority w:val="22"/>
    <w:qFormat/>
    <w:rsid w:val="00CF1BF6"/>
    <w:rPr>
      <w:b/>
      <w:bCs/>
    </w:rPr>
  </w:style>
  <w:style w:type="character" w:customStyle="1" w:styleId="scxw53767519">
    <w:name w:val="scxw53767519"/>
    <w:basedOn w:val="Domylnaczcionkaakapitu"/>
    <w:rsid w:val="00CC4807"/>
  </w:style>
  <w:style w:type="character" w:customStyle="1" w:styleId="scxw234614605">
    <w:name w:val="scxw234614605"/>
    <w:basedOn w:val="Domylnaczcionkaakapitu"/>
    <w:rsid w:val="004972B8"/>
  </w:style>
  <w:style w:type="character" w:customStyle="1" w:styleId="tabchar">
    <w:name w:val="tabchar"/>
    <w:basedOn w:val="Domylnaczcionkaakapitu"/>
    <w:rsid w:val="004972B8"/>
  </w:style>
  <w:style w:type="character" w:customStyle="1" w:styleId="scxw142326765">
    <w:name w:val="scxw142326765"/>
    <w:basedOn w:val="Domylnaczcionkaakapitu"/>
    <w:rsid w:val="003B0A4E"/>
  </w:style>
  <w:style w:type="character" w:customStyle="1" w:styleId="scxw7763664">
    <w:name w:val="scxw7763664"/>
    <w:basedOn w:val="Domylnaczcionkaakapitu"/>
    <w:rsid w:val="00E81182"/>
  </w:style>
  <w:style w:type="character" w:customStyle="1" w:styleId="scxw209904738">
    <w:name w:val="scxw209904738"/>
    <w:basedOn w:val="Domylnaczcionkaakapitu"/>
    <w:rsid w:val="00B0640B"/>
  </w:style>
  <w:style w:type="character" w:customStyle="1" w:styleId="scxw26013484">
    <w:name w:val="scxw26013484"/>
    <w:basedOn w:val="Domylnaczcionkaakapitu"/>
    <w:rsid w:val="007977C1"/>
  </w:style>
  <w:style w:type="character" w:customStyle="1" w:styleId="scxw212939070">
    <w:name w:val="scxw212939070"/>
    <w:basedOn w:val="Domylnaczcionkaakapitu"/>
    <w:rsid w:val="00530CC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02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A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222"/>
    <w:rPr>
      <w:rFonts w:ascii="Calibri" w:eastAsiaTheme="minorHAns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222"/>
    <w:rPr>
      <w:rFonts w:ascii="Calibri" w:eastAsiaTheme="minorHAns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9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13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56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4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09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82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49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4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83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epeeglobal.us13.list-manage.com/track/click?u=f8bc826a837ccc9b1b9a47b5c&amp;id=4da0d6a2d4&amp;e=802e4750f5" TargetMode="External"/><Relationship Id="rId26" Type="http://schemas.openxmlformats.org/officeDocument/2006/relationships/hyperlink" Target="https://epeeglobal.us13.list-manage.com/track/click?u=f8bc826a837ccc9b1b9a47b5c&amp;id=d7e882de68&amp;e=802e4750f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eeglobal.us13.list-manage.com/track/click?u=f8bc826a837ccc9b1b9a47b5c&amp;id=b3cd7b2cc4&amp;e=802e4750f5" TargetMode="External"/><Relationship Id="rId34" Type="http://schemas.openxmlformats.org/officeDocument/2006/relationships/hyperlink" Target="https://epeeglobal.us13.list-manage.com/track/click?u=f8bc826a837ccc9b1b9a47b5c&amp;id=92c67c59c2&amp;e=802e4750f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eeglobal.us13.list-manage.com/track/click?u=f8bc826a837ccc9b1b9a47b5c&amp;id=be7a42adec&amp;e=802e4750f5" TargetMode="External"/><Relationship Id="rId17" Type="http://schemas.openxmlformats.org/officeDocument/2006/relationships/hyperlink" Target="https://epeeglobal.us13.list-manage.com/track/click?u=f8bc826a837ccc9b1b9a47b5c&amp;id=6f9788684b&amp;e=802e4750f5" TargetMode="External"/><Relationship Id="rId25" Type="http://schemas.openxmlformats.org/officeDocument/2006/relationships/hyperlink" Target="https://epeeglobal.us13.list-manage.com/track/click?u=f8bc826a837ccc9b1b9a47b5c&amp;id=8861ddd1b9&amp;e=802e4750f5" TargetMode="External"/><Relationship Id="rId33" Type="http://schemas.openxmlformats.org/officeDocument/2006/relationships/hyperlink" Target="https://epeeglobal.us13.list-manage.com/track/click?u=f8bc826a837ccc9b1b9a47b5c&amp;id=efd8a0c283&amp;e=802e4750f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peeglobal.us13.list-manage.com/track/click?u=f8bc826a837ccc9b1b9a47b5c&amp;id=83063d8912&amp;e=802e4750f5" TargetMode="External"/><Relationship Id="rId20" Type="http://schemas.openxmlformats.org/officeDocument/2006/relationships/hyperlink" Target="https://epeeglobal.us13.list-manage.com/track/click?u=f8bc826a837ccc9b1b9a47b5c&amp;id=c95cd76fb2&amp;e=802e4750f5" TargetMode="External"/><Relationship Id="rId29" Type="http://schemas.openxmlformats.org/officeDocument/2006/relationships/hyperlink" Target="https://epeeglobal.us13.list-manage.com/track/click?u=f8bc826a837ccc9b1b9a47b5c&amp;id=aa6c28529a&amp;e=802e4750f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eeglobal.us13.list-manage.com/track/click?u=f8bc826a837ccc9b1b9a47b5c&amp;id=fc732cf7fb&amp;e=802e4750f5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epeeglobal.us13.list-manage.com/track/click?u=f8bc826a837ccc9b1b9a47b5c&amp;id=e18718d659&amp;e=802e4750f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mailto:EFCTC_SEA@ricardo.com" TargetMode="External"/><Relationship Id="rId28" Type="http://schemas.openxmlformats.org/officeDocument/2006/relationships/hyperlink" Target="https://epeeglobal.us13.list-manage.com/track/click?u=f8bc826a837ccc9b1b9a47b5c&amp;id=8e77d9c28c&amp;e=802e4750f5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peeglobal.us13.list-manage.com/track/click?u=f8bc826a837ccc9b1b9a47b5c&amp;id=c49a6627a2&amp;e=802e4750f5" TargetMode="External"/><Relationship Id="rId19" Type="http://schemas.openxmlformats.org/officeDocument/2006/relationships/hyperlink" Target="https://epeeglobal.us13.list-manage.com/track/click?u=f8bc826a837ccc9b1b9a47b5c&amp;id=3a2b923d3a&amp;e=802e4750f5" TargetMode="External"/><Relationship Id="rId31" Type="http://schemas.openxmlformats.org/officeDocument/2006/relationships/hyperlink" Target="https://epeeglobal.us13.list-manage.com/track/click?u=f8bc826a837ccc9b1b9a47b5c&amp;id=2f4904fe14&amp;e=802e4750f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eeglobal.us13.list-manage.com/track/click?u=f8bc826a837ccc9b1b9a47b5c&amp;id=94154e5e9e&amp;e=802e4750f5" TargetMode="External"/><Relationship Id="rId14" Type="http://schemas.openxmlformats.org/officeDocument/2006/relationships/hyperlink" Target="https://epeeglobal.us13.list-manage.com/track/click?u=f8bc826a837ccc9b1b9a47b5c&amp;id=1b0b82fdd9&amp;e=802e4750f5" TargetMode="External"/><Relationship Id="rId22" Type="http://schemas.openxmlformats.org/officeDocument/2006/relationships/hyperlink" Target="mailto:eco@cefic.be" TargetMode="External"/><Relationship Id="rId27" Type="http://schemas.openxmlformats.org/officeDocument/2006/relationships/hyperlink" Target="https://epeeglobal.us13.list-manage.com/track/click?u=f8bc826a837ccc9b1b9a47b5c&amp;id=8112738f06&amp;e=802e4750f5" TargetMode="External"/><Relationship Id="rId30" Type="http://schemas.openxmlformats.org/officeDocument/2006/relationships/hyperlink" Target="https://aeur.eu/f/k1" TargetMode="External"/><Relationship Id="rId35" Type="http://schemas.openxmlformats.org/officeDocument/2006/relationships/hyperlink" Target="https://epeeglobal.us13.list-manage.com/track/click?u=f8bc826a837ccc9b1b9a47b5c&amp;id=0127a2520e&amp;e=802e4750f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F94C-39C0-4083-B77C-7E13C352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6040</Words>
  <Characters>36245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Zakępska</dc:creator>
  <cp:keywords/>
  <dc:description/>
  <cp:lastModifiedBy>Dorota Zakępska</cp:lastModifiedBy>
  <cp:revision>4</cp:revision>
  <cp:lastPrinted>2022-03-08T11:53:00Z</cp:lastPrinted>
  <dcterms:created xsi:type="dcterms:W3CDTF">2022-03-22T10:35:00Z</dcterms:created>
  <dcterms:modified xsi:type="dcterms:W3CDTF">2022-03-22T10:36:00Z</dcterms:modified>
</cp:coreProperties>
</file>